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color w:val="cc0066"/>
          <w:sz w:val="28"/>
          <w:szCs w:val="28"/>
          <w:rtl w:val="0"/>
        </w:rPr>
        <w:t xml:space="preserve">«LG. Заботясь о каждом»: LG собрала 5 млн. рублей в помощь детям в рамках сотрудничества с Благотворительным Фондом Константина Хабенского</w:t>
      </w:r>
    </w:p>
    <w:p w:rsidR="00000000" w:rsidDel="00000000" w:rsidP="00000000" w:rsidRDefault="00000000" w:rsidRPr="00000000">
      <w:pPr>
        <w:contextualSpacing w:val="0"/>
        <w:jc w:val="both"/>
      </w:pPr>
      <w:r w:rsidDel="00000000" w:rsidR="00000000" w:rsidRPr="00000000">
        <w:rPr>
          <w:b w:val="1"/>
          <w:sz w:val="20"/>
          <w:szCs w:val="20"/>
          <w:rtl w:val="0"/>
        </w:rPr>
        <w:t xml:space="preserve"> </w:t>
      </w:r>
    </w:p>
    <w:p w:rsidR="00000000" w:rsidDel="00000000" w:rsidP="00000000" w:rsidRDefault="00000000" w:rsidRPr="00000000">
      <w:pPr>
        <w:spacing w:line="360" w:lineRule="auto"/>
        <w:contextualSpacing w:val="0"/>
        <w:jc w:val="both"/>
      </w:pPr>
      <w:r w:rsidDel="00000000" w:rsidR="00000000" w:rsidRPr="00000000">
        <w:rPr>
          <w:b w:val="1"/>
          <w:rtl w:val="0"/>
        </w:rPr>
        <w:t xml:space="preserve">Москва, 11 июля 2016 г. – </w:t>
      </w:r>
      <w:r w:rsidDel="00000000" w:rsidR="00000000" w:rsidRPr="00000000">
        <w:rPr>
          <w:rtl w:val="0"/>
        </w:rPr>
        <w:t xml:space="preserve">Реализуя политику корпоративной социальной ответственности на базе платформы бренда «LG. Заботясь о каждом», LG уделяет особое внимание заботе о российских детях. Поэтому с октября 2015 года компания активно поддерживает Благотворительный Фонд Константина Хабенского, занимающийся организацией помощи детям с онкологическими и другими тяжёлыми заболеваниями головного мозга. Новым этапом сотрудничества стала церемония передачи символического чека на 5 миллионов рублей, собранных по итогам комплекса реализованных компанией активностей, финансовым директором LG Electronics в России г-ном Ханом основателю Фонда Константину Хабенскому.  Г-н Хан от имени LG Electronics пожелал детям, перенесшим тяжёлое заболевание и находящимся на реабилитации в центре, скорейшего выздоровления и добрых событий в их жизни. </w:t>
      </w:r>
      <w:r w:rsidDel="00000000" w:rsidR="00000000" w:rsidRPr="00000000">
        <w:rPr>
          <w:highlight w:val="white"/>
          <w:rtl w:val="0"/>
        </w:rPr>
        <w:t xml:space="preserve">А предшествовала этой церемонии </w:t>
      </w:r>
      <w:r w:rsidDel="00000000" w:rsidR="00000000" w:rsidRPr="00000000">
        <w:rPr>
          <w:rtl w:val="0"/>
        </w:rPr>
        <w:t xml:space="preserve">специально организованная Фондом для детей, находящихся на реабилитации в центре, развлекательная программа – шоу «Наукомания» и спектакль театра МОСТ «Академия всякой всячины» . Также для представителей LG Electronics и Благотворительного Фонда Константина Хабенского была проведена экскурсия по зданию центра, где гостям были продемонстрированы современные отделения и специализированное оборудование для </w:t>
      </w:r>
      <w:r w:rsidDel="00000000" w:rsidR="00000000" w:rsidRPr="00000000">
        <w:rPr>
          <w:highlight w:val="white"/>
          <w:rtl w:val="0"/>
        </w:rPr>
        <w:t xml:space="preserve">восстановления и совершенствования моторных функций, устранение соматических нарушений и расстройств систем органов чувств, интеллектуально-психологическую коррекцию, социальную поддержку и адаптацию.</w:t>
      </w:r>
    </w:p>
    <w:p w:rsidR="00000000" w:rsidDel="00000000" w:rsidP="00000000" w:rsidRDefault="00000000" w:rsidRPr="00000000">
      <w:pPr>
        <w:spacing w:line="360" w:lineRule="auto"/>
        <w:ind w:firstLine="720"/>
        <w:contextualSpacing w:val="0"/>
        <w:jc w:val="both"/>
      </w:pPr>
      <w:r w:rsidDel="00000000" w:rsidR="00000000" w:rsidRPr="00000000">
        <w:rPr>
          <w:highlight w:val="white"/>
          <w:rtl w:val="0"/>
        </w:rPr>
        <w:t xml:space="preserve">Работа уникального Лечебно-реабилитационного научного центра (ЛРНЦ) «Русское поле» ФГБУ «ФНКЦ ДГОИ им. Дмитрия Рогачева», созданного в 2014 году, направлена на восстановление здоровья, а значит повышение качества жизни и социальную адаптацию детей, успешно завершивших или проходящих различные этапы специального (профильного) лечения онкологических и гематологических заболеваний, а также расстройств иммунной системы.</w:t>
      </w:r>
    </w:p>
    <w:p w:rsidR="00000000" w:rsidDel="00000000" w:rsidP="00000000" w:rsidRDefault="00000000" w:rsidRPr="00000000">
      <w:pPr>
        <w:spacing w:line="360" w:lineRule="auto"/>
        <w:ind w:firstLine="720"/>
        <w:contextualSpacing w:val="0"/>
        <w:jc w:val="both"/>
      </w:pPr>
      <w:r w:rsidDel="00000000" w:rsidR="00000000" w:rsidRPr="00000000">
        <w:rPr>
          <w:rtl w:val="0"/>
        </w:rPr>
        <w:t xml:space="preserve">Благотворительный Фонд Константина Хабенского системно поддерживает «Русское поле» в рамках 4-х благотворительных программ: оплачивает реабилитацию детей после перенесенных онкологических заболеваний, оборудует игровые пространства в отделениях центра, поставляет высокотехнологичное диагностичесое и реабилитационное оборудование и поддерживает повыщение квалификации медицинского персонала.</w:t>
      </w:r>
    </w:p>
    <w:p w:rsidR="00000000" w:rsidDel="00000000" w:rsidP="00000000" w:rsidRDefault="00000000" w:rsidRPr="00000000">
      <w:pPr>
        <w:spacing w:line="360" w:lineRule="auto"/>
        <w:ind w:firstLine="720"/>
        <w:contextualSpacing w:val="0"/>
        <w:jc w:val="both"/>
      </w:pPr>
      <w:r w:rsidDel="00000000" w:rsidR="00000000" w:rsidRPr="00000000">
        <w:rPr>
          <w:rtl w:val="0"/>
        </w:rPr>
        <w:t xml:space="preserve">В рамках партнерства LG регулярно отчисляет в Благотворительный Фонд Константина Хабенского определенную сумму с продаж одного из продуктов компании, а также по итогам различных маркетинговых активностей. Одной из них стал «Конкурс улыбок», который проводится на сайте care.lg.com/ru. За каждую присланную фотографию с улыбкой автора, его семьи или друзей определенная сумма также перечисляется в Фонд Константина Хабенского. При этом участники, приславшие лучшие 10 фотографий, выбираемых ежемесячно на основе рейтинга, поощряются призами от LG.</w:t>
      </w:r>
    </w:p>
    <w:p w:rsidR="00000000" w:rsidDel="00000000" w:rsidP="00000000" w:rsidRDefault="00000000" w:rsidRPr="00000000">
      <w:pPr>
        <w:spacing w:line="360" w:lineRule="auto"/>
        <w:ind w:firstLine="720"/>
        <w:contextualSpacing w:val="0"/>
        <w:jc w:val="both"/>
      </w:pPr>
      <w:r w:rsidDel="00000000" w:rsidR="00000000" w:rsidRPr="00000000">
        <w:rPr>
          <w:rtl w:val="0"/>
        </w:rPr>
        <w:t xml:space="preserve">Помимо сотрудничества с Благотворительным Фондом Константина Хабенского, многоступенчатая платформа «LG. Заботясь о каждом» включает в себя еще несколько направлений, чтобы как можно больше людей были вовлечены в эстафету добрых поступков. Так, в рамках конкурса «LG. Время добрых дел» пользователям сайта care.lg.com/ru предлагалось поделиться позитивной историей или опытом помощи тем, кто нуждается в ней. Также приветствовались рассказы о добрых делах, про которые участник узнал от родственников, друзей или коллег. Авторы 10 лучших историй получили призы благодарности от LG. Задачей конкурса было поделиться как можно большим количеством позитивной информации об уже совершенных поступках, тем самым пробуждая в читателях или окружающих их людях лучшие качества.</w:t>
      </w:r>
    </w:p>
    <w:p w:rsidR="00000000" w:rsidDel="00000000" w:rsidP="00000000" w:rsidRDefault="00000000" w:rsidRPr="00000000">
      <w:pPr>
        <w:spacing w:line="360" w:lineRule="auto"/>
        <w:ind w:firstLine="720"/>
        <w:contextualSpacing w:val="0"/>
        <w:jc w:val="both"/>
      </w:pPr>
      <w:r w:rsidDel="00000000" w:rsidR="00000000" w:rsidRPr="00000000">
        <w:rPr>
          <w:b w:val="1"/>
          <w:color w:val="cc0066"/>
          <w:rtl w:val="0"/>
        </w:rPr>
        <w:t xml:space="preserve"> </w:t>
      </w:r>
    </w:p>
    <w:p w:rsidR="00000000" w:rsidDel="00000000" w:rsidP="00000000" w:rsidRDefault="00000000" w:rsidRPr="00000000">
      <w:pPr>
        <w:spacing w:line="360" w:lineRule="auto"/>
        <w:ind w:firstLine="720"/>
        <w:contextualSpacing w:val="0"/>
        <w:jc w:val="center"/>
      </w:pPr>
      <w:r w:rsidDel="00000000" w:rsidR="00000000" w:rsidRPr="00000000">
        <w:rPr>
          <w:b w:val="1"/>
          <w:color w:val="cc0066"/>
          <w:rtl w:val="0"/>
        </w:rPr>
        <w:t xml:space="preserve">###</w:t>
      </w:r>
    </w:p>
    <w:p w:rsidR="00000000" w:rsidDel="00000000" w:rsidP="00000000" w:rsidRDefault="00000000" w:rsidRPr="00000000">
      <w:pPr>
        <w:contextualSpacing w:val="0"/>
        <w:jc w:val="both"/>
      </w:pPr>
      <w:r w:rsidDel="00000000" w:rsidR="00000000" w:rsidRPr="00000000">
        <w:rPr>
          <w:b w:val="1"/>
          <w:color w:val="cc0066"/>
          <w:sz w:val="20"/>
          <w:szCs w:val="20"/>
          <w:rtl w:val="0"/>
        </w:rPr>
        <w:t xml:space="preserve">О компании LG Electronics</w:t>
      </w:r>
    </w:p>
    <w:p w:rsidR="00000000" w:rsidDel="00000000" w:rsidP="00000000" w:rsidRDefault="00000000" w:rsidRPr="00000000">
      <w:pPr>
        <w:contextualSpacing w:val="0"/>
        <w:jc w:val="both"/>
      </w:pPr>
      <w:r w:rsidDel="00000000" w:rsidR="00000000" w:rsidRPr="00000000">
        <w:rPr>
          <w:sz w:val="20"/>
          <w:szCs w:val="20"/>
          <w:rtl w:val="0"/>
        </w:rPr>
        <w:t xml:space="preserve"> LG Electronics, Inc. (KSE: 066570.KS) является мировым лидером в области инноваций и производства высокотехнологичной  электроники, современных  средств мобильной связи и бытовой техники. В компании по всему миру работает 77,000 человек в 125 филиалах. Компания LG состоит из четырех подразделений: Home Entertainment, Mobile Communications, Home Appliance &amp; Air Solution и Vehicle Components, общий объем мировых продаж которых в 2015 году составил 48.8 млрд долларов США (56.5 трлн 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 LG Electronics лауреат премии 2015 ENERGY STAR Partner of the Year. За дополнительной информацией, пожалуйста, обратитесь к</w:t>
      </w:r>
      <w:hyperlink r:id="rId5">
        <w:r w:rsidDel="00000000" w:rsidR="00000000" w:rsidRPr="00000000">
          <w:rPr>
            <w:sz w:val="20"/>
            <w:szCs w:val="20"/>
            <w:rtl w:val="0"/>
          </w:rPr>
          <w:t xml:space="preserve"> </w:t>
        </w:r>
      </w:hyperlink>
      <w:hyperlink r:id="rId6">
        <w:r w:rsidDel="00000000" w:rsidR="00000000" w:rsidRPr="00000000">
          <w:rPr>
            <w:color w:val="0000ff"/>
            <w:sz w:val="20"/>
            <w:szCs w:val="20"/>
            <w:u w:val="single"/>
            <w:rtl w:val="0"/>
          </w:rPr>
          <w:t xml:space="preserve">www.LGnewsroom.com</w:t>
        </w:r>
      </w:hyperlink>
      <w:r w:rsidDel="00000000" w:rsidR="00000000" w:rsidRPr="00000000">
        <w:rPr>
          <w:sz w:val="20"/>
          <w:szCs w:val="20"/>
          <w:rtl w:val="0"/>
        </w:rPr>
        <w:t xml:space="preserve">.</w:t>
      </w:r>
    </w:p>
    <w:p w:rsidR="00000000" w:rsidDel="00000000" w:rsidP="00000000" w:rsidRDefault="00000000" w:rsidRPr="00000000">
      <w:pPr>
        <w:contextualSpacing w:val="0"/>
        <w:jc w:val="both"/>
      </w:pPr>
      <w:r w:rsidDel="00000000" w:rsidR="00000000" w:rsidRPr="00000000">
        <w:rPr>
          <w:sz w:val="20"/>
          <w:szCs w:val="20"/>
          <w:rtl w:val="0"/>
        </w:rPr>
        <w:t xml:space="preserve"> </w:t>
      </w:r>
    </w:p>
    <w:p w:rsidR="00000000" w:rsidDel="00000000" w:rsidP="00000000" w:rsidRDefault="00000000" w:rsidRPr="00000000">
      <w:pPr>
        <w:contextualSpacing w:val="0"/>
        <w:jc w:val="both"/>
      </w:pPr>
      <w:r w:rsidDel="00000000" w:rsidR="00000000" w:rsidRPr="00000000">
        <w:rPr>
          <w:b w:val="1"/>
          <w:color w:val="cc0066"/>
          <w:sz w:val="20"/>
          <w:szCs w:val="20"/>
          <w:rtl w:val="0"/>
        </w:rPr>
        <w:t xml:space="preserve"> </w:t>
      </w:r>
    </w:p>
    <w:p w:rsidR="00000000" w:rsidDel="00000000" w:rsidP="00000000" w:rsidRDefault="00000000" w:rsidRPr="00000000">
      <w:pPr>
        <w:contextualSpacing w:val="0"/>
      </w:pPr>
      <w:r w:rsidDel="00000000" w:rsidR="00000000" w:rsidRPr="00000000">
        <w:rPr>
          <w:sz w:val="20"/>
          <w:szCs w:val="20"/>
          <w:rtl w:val="0"/>
        </w:rPr>
        <w:t xml:space="preserve"> </w:t>
      </w:r>
    </w:p>
    <w:p w:rsidR="00000000" w:rsidDel="00000000" w:rsidP="00000000" w:rsidRDefault="00000000" w:rsidRPr="00000000">
      <w:pPr>
        <w:contextualSpacing w:val="0"/>
        <w:jc w:val="both"/>
      </w:pPr>
      <w:r w:rsidDel="00000000" w:rsidR="00000000" w:rsidRPr="00000000">
        <w:rPr>
          <w:b w:val="1"/>
          <w:color w:val="ff0000"/>
          <w:sz w:val="20"/>
          <w:szCs w:val="20"/>
          <w:highlight w:val="white"/>
          <w:rtl w:val="0"/>
        </w:rPr>
        <w:t xml:space="preserve">О Благотворительном Фонде Константина Хабенского</w:t>
      </w:r>
    </w:p>
    <w:p w:rsidR="00000000" w:rsidDel="00000000" w:rsidP="00000000" w:rsidRDefault="00000000" w:rsidRPr="00000000">
      <w:pPr>
        <w:contextualSpacing w:val="0"/>
      </w:pPr>
      <w:r w:rsidDel="00000000" w:rsidR="00000000" w:rsidRPr="00000000">
        <w:rPr>
          <w:sz w:val="20"/>
          <w:szCs w:val="20"/>
          <w:rtl w:val="0"/>
        </w:rPr>
        <w:t xml:space="preserve">Благотворительный фонд Константина Хабенского с апреля 2008 года помогает детям с онкологическими и другими тяжелыми заболеваниями головного мозга вовремя получать всю необходимую медицинскую помощь и скорее возвращаться к полноценной жизни.</w:t>
      </w:r>
    </w:p>
    <w:p w:rsidR="00000000" w:rsidDel="00000000" w:rsidP="00000000" w:rsidRDefault="00000000" w:rsidRPr="00000000">
      <w:pPr>
        <w:contextualSpacing w:val="0"/>
      </w:pPr>
      <w:r w:rsidDel="00000000" w:rsidR="00000000" w:rsidRPr="00000000">
        <w:rPr>
          <w:sz w:val="20"/>
          <w:szCs w:val="20"/>
          <w:rtl w:val="0"/>
        </w:rPr>
        <w:t xml:space="preserve">Фонд оплачивает диагностику и лечение детей, проводит информационную работу с родителями, с помощью курсов и тренингов повышает квалификацию врачей, помогает оснащать профильные отделения российских медицинских учреждений, а также организует реабилитационные программы.</w:t>
      </w:r>
    </w:p>
    <w:p w:rsidR="00000000" w:rsidDel="00000000" w:rsidP="00000000" w:rsidRDefault="00000000" w:rsidRPr="00000000">
      <w:pPr>
        <w:contextualSpacing w:val="0"/>
        <w:jc w:val="both"/>
      </w:pPr>
      <w:r w:rsidDel="00000000" w:rsidR="00000000" w:rsidRPr="00000000">
        <w:rPr>
          <w:sz w:val="20"/>
          <w:szCs w:val="20"/>
          <w:highlight w:val="white"/>
          <w:rtl w:val="0"/>
        </w:rPr>
        <w:t xml:space="preserve">Миссия Фонда — вовремя оказаться рядом и помочь, ведь тогда ребенка с заболеванием головного мозга можно спасти!</w:t>
      </w:r>
    </w:p>
    <w:p w:rsidR="00000000" w:rsidDel="00000000" w:rsidP="00000000" w:rsidRDefault="00000000" w:rsidRPr="00000000">
      <w:pPr>
        <w:contextualSpacing w:val="0"/>
        <w:jc w:val="both"/>
      </w:pPr>
      <w:r w:rsidDel="00000000" w:rsidR="00000000" w:rsidRPr="00000000">
        <w:rPr>
          <w:sz w:val="20"/>
          <w:szCs w:val="20"/>
          <w:highlight w:val="white"/>
          <w:rtl w:val="0"/>
        </w:rPr>
        <w:t xml:space="preserve">Вся информация о Фонде на</w:t>
      </w:r>
      <w:hyperlink r:id="rId7">
        <w:r w:rsidDel="00000000" w:rsidR="00000000" w:rsidRPr="00000000">
          <w:rPr>
            <w:sz w:val="20"/>
            <w:szCs w:val="20"/>
            <w:highlight w:val="white"/>
            <w:rtl w:val="0"/>
          </w:rPr>
          <w:t xml:space="preserve"> </w:t>
        </w:r>
      </w:hyperlink>
      <w:hyperlink r:id="rId8">
        <w:r w:rsidDel="00000000" w:rsidR="00000000" w:rsidRPr="00000000">
          <w:rPr>
            <w:color w:val="1155cc"/>
            <w:sz w:val="20"/>
            <w:szCs w:val="20"/>
            <w:highlight w:val="white"/>
            <w:rtl w:val="0"/>
          </w:rPr>
          <w:t xml:space="preserve">www.bfkh.ru</w:t>
        </w:r>
      </w:hyperlink>
    </w:p>
    <w:p w:rsidR="00000000" w:rsidDel="00000000" w:rsidP="00000000" w:rsidRDefault="00000000" w:rsidRPr="00000000">
      <w:pPr>
        <w:contextualSpacing w:val="0"/>
      </w:pPr>
      <w:r w:rsidDel="00000000" w:rsidR="00000000" w:rsidRPr="00000000">
        <w:rPr>
          <w:sz w:val="20"/>
          <w:szCs w:val="20"/>
          <w:rtl w:val="0"/>
        </w:rPr>
        <w:t xml:space="preserve"> </w:t>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lgnewsroom.com/" TargetMode="External"/><Relationship Id="rId6" Type="http://schemas.openxmlformats.org/officeDocument/2006/relationships/hyperlink" Target="http://www.lgnewsroom.com/" TargetMode="External"/><Relationship Id="rId7" Type="http://schemas.openxmlformats.org/officeDocument/2006/relationships/hyperlink" Target="http://www.bfkh.ru/" TargetMode="External"/><Relationship Id="rId8" Type="http://schemas.openxmlformats.org/officeDocument/2006/relationships/hyperlink" Target="http://www.bfkh.ru/" TargetMode="External"/></Relationships>
</file>