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629" w:rsidRDefault="00B6205E" w:rsidP="00B705B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bookmarkStart w:id="0" w:name="_GoBack"/>
      <w:bookmarkEnd w:id="0"/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E25102" w:rsidRPr="00E25102">
        <w:rPr>
          <w:rFonts w:eastAsia="Dotum"/>
          <w:b/>
          <w:bCs/>
          <w:lang w:val="ru-RU"/>
        </w:rPr>
        <w:t xml:space="preserve">1 </w:t>
      </w:r>
      <w:r w:rsidR="00E25102">
        <w:rPr>
          <w:rFonts w:eastAsia="Dotum"/>
          <w:b/>
          <w:bCs/>
          <w:lang w:val="ru-RU"/>
        </w:rPr>
        <w:t>ноября</w:t>
      </w:r>
      <w:r w:rsidR="00467592" w:rsidRPr="00B6205E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467592">
        <w:rPr>
          <w:rFonts w:eastAsia="Dotum"/>
          <w:b/>
          <w:bCs/>
          <w:lang w:val="ru-RU" w:eastAsia="ko-KR"/>
        </w:rPr>
        <w:t>6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A96EC4" w:rsidRPr="00A96EC4">
        <w:rPr>
          <w:rFonts w:eastAsiaTheme="minorEastAsia"/>
          <w:lang w:val="ru-RU" w:eastAsia="ko-KR"/>
        </w:rPr>
        <w:t xml:space="preserve"> С </w:t>
      </w:r>
      <w:r w:rsidR="0047618F">
        <w:rPr>
          <w:rFonts w:eastAsiaTheme="minorEastAsia"/>
          <w:lang w:val="ru-RU" w:eastAsia="ko-KR"/>
        </w:rPr>
        <w:t>1</w:t>
      </w:r>
      <w:r w:rsidR="00A96EC4" w:rsidRPr="00A96EC4">
        <w:rPr>
          <w:rFonts w:eastAsiaTheme="minorEastAsia"/>
          <w:lang w:val="ru-RU" w:eastAsia="ko-KR"/>
        </w:rPr>
        <w:t xml:space="preserve"> по 3 </w:t>
      </w:r>
      <w:r w:rsidR="0047618F">
        <w:rPr>
          <w:rFonts w:eastAsiaTheme="minorEastAsia"/>
          <w:lang w:val="ru-RU" w:eastAsia="ko-KR"/>
        </w:rPr>
        <w:t>но</w:t>
      </w:r>
      <w:r w:rsidR="00A96EC4" w:rsidRPr="00A96EC4">
        <w:rPr>
          <w:rFonts w:eastAsiaTheme="minorEastAsia"/>
          <w:lang w:val="ru-RU" w:eastAsia="ko-KR"/>
        </w:rPr>
        <w:t>ября компания LG Electronics принимает участие в Международной выставке Integrated Systems Russia 201</w:t>
      </w:r>
      <w:r w:rsidR="00B705BA">
        <w:rPr>
          <w:rFonts w:eastAsiaTheme="minorEastAsia"/>
          <w:lang w:val="ru-RU" w:eastAsia="ko-KR"/>
        </w:rPr>
        <w:t>6</w:t>
      </w:r>
      <w:r w:rsidR="00A96EC4" w:rsidRPr="00A96EC4">
        <w:rPr>
          <w:rFonts w:eastAsiaTheme="minorEastAsia"/>
          <w:lang w:val="ru-RU" w:eastAsia="ko-KR"/>
        </w:rPr>
        <w:t>, где представляет широкий спектр цифровых рекламно-информационных с</w:t>
      </w:r>
      <w:r w:rsidR="00B705BA">
        <w:rPr>
          <w:rFonts w:eastAsiaTheme="minorEastAsia"/>
          <w:lang w:val="ru-RU" w:eastAsia="ko-KR"/>
        </w:rPr>
        <w:t>истем Digital Signage, а также д</w:t>
      </w:r>
      <w:r w:rsidR="00B705BA" w:rsidRPr="00B705BA">
        <w:rPr>
          <w:rFonts w:eastAsiaTheme="minorEastAsia"/>
          <w:lang w:val="ru-RU" w:eastAsia="ko-KR"/>
        </w:rPr>
        <w:t xml:space="preserve">вусторонний OLED дисплей </w:t>
      </w:r>
      <w:r w:rsidR="00B705BA">
        <w:rPr>
          <w:rFonts w:eastAsiaTheme="minorEastAsia"/>
          <w:lang w:val="ru-RU" w:eastAsia="ko-KR"/>
        </w:rPr>
        <w:t>и у</w:t>
      </w:r>
      <w:r w:rsidR="00B705BA" w:rsidRPr="00B705BA">
        <w:rPr>
          <w:rFonts w:eastAsiaTheme="minorEastAsia"/>
          <w:lang w:val="ru-RU" w:eastAsia="ko-KR"/>
        </w:rPr>
        <w:t xml:space="preserve">льтраширокий </w:t>
      </w:r>
      <w:r w:rsidR="00B705BA">
        <w:rPr>
          <w:rFonts w:eastAsiaTheme="minorEastAsia"/>
          <w:lang w:val="ru-RU" w:eastAsia="ko-KR"/>
        </w:rPr>
        <w:t xml:space="preserve">86-дюймовый </w:t>
      </w:r>
      <w:r w:rsidR="00B705BA" w:rsidRPr="00B705BA">
        <w:rPr>
          <w:rFonts w:eastAsiaTheme="minorEastAsia"/>
          <w:lang w:val="ru-RU" w:eastAsia="ko-KR"/>
        </w:rPr>
        <w:t>дисплей</w:t>
      </w:r>
      <w:r w:rsidR="00A96EC4" w:rsidRPr="00A96EC4">
        <w:rPr>
          <w:rFonts w:eastAsiaTheme="minorEastAsia"/>
          <w:lang w:val="ru-RU" w:eastAsia="ko-KR"/>
        </w:rPr>
        <w:t>.</w:t>
      </w:r>
    </w:p>
    <w:p w:rsidR="002B75E3" w:rsidRDefault="002B75E3" w:rsidP="00B705B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2B75E3" w:rsidRDefault="002B75E3" w:rsidP="00B705B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B705BA" w:rsidRDefault="00B705BA" w:rsidP="00B705B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1333C">
        <w:rPr>
          <w:rFonts w:ascii="PragmaticaC" w:hAnsi="PragmaticaC"/>
          <w:bCs/>
          <w:color w:val="000000"/>
          <w:shd w:val="clear" w:color="auto" w:fill="FFFFFF"/>
        </w:rPr>
        <w:t>Integrated</w:t>
      </w:r>
      <w:r w:rsidRPr="0061333C">
        <w:rPr>
          <w:rFonts w:ascii="PragmaticaC" w:hAnsi="PragmaticaC"/>
          <w:bCs/>
          <w:color w:val="000000"/>
          <w:shd w:val="clear" w:color="auto" w:fill="FFFFFF"/>
          <w:lang w:val="ru-RU"/>
        </w:rPr>
        <w:t xml:space="preserve"> </w:t>
      </w:r>
      <w:r w:rsidRPr="0061333C">
        <w:rPr>
          <w:rFonts w:ascii="PragmaticaC" w:hAnsi="PragmaticaC"/>
          <w:bCs/>
          <w:color w:val="000000"/>
          <w:shd w:val="clear" w:color="auto" w:fill="FFFFFF"/>
        </w:rPr>
        <w:t>Systems</w:t>
      </w:r>
      <w:r w:rsidRPr="0061333C">
        <w:rPr>
          <w:rFonts w:ascii="PragmaticaC" w:hAnsi="PragmaticaC"/>
          <w:bCs/>
          <w:color w:val="000000"/>
          <w:shd w:val="clear" w:color="auto" w:fill="FFFFFF"/>
          <w:lang w:val="ru-RU"/>
        </w:rPr>
        <w:t xml:space="preserve"> </w:t>
      </w:r>
      <w:r w:rsidRPr="0061333C">
        <w:rPr>
          <w:rFonts w:ascii="PragmaticaC" w:hAnsi="PragmaticaC"/>
          <w:bCs/>
          <w:color w:val="000000"/>
          <w:shd w:val="clear" w:color="auto" w:fill="FFFFFF"/>
        </w:rPr>
        <w:t>Russia</w:t>
      </w:r>
      <w:r w:rsidRPr="0061333C">
        <w:rPr>
          <w:rStyle w:val="apple-converted-space"/>
          <w:rFonts w:ascii="PragmaticaC" w:hAnsi="PragmaticaC"/>
          <w:bCs/>
          <w:color w:val="000000"/>
          <w:shd w:val="clear" w:color="auto" w:fill="FFFFFF"/>
        </w:rPr>
        <w:t> </w:t>
      </w:r>
      <w:r w:rsidRPr="0061333C">
        <w:rPr>
          <w:rFonts w:ascii="PragmaticaC" w:hAnsi="PragmaticaC"/>
          <w:color w:val="000000"/>
          <w:shd w:val="clear" w:color="auto" w:fill="FFFFFF"/>
          <w:lang w:val="ru-RU"/>
        </w:rPr>
        <w:t xml:space="preserve">– единственная международная </w:t>
      </w:r>
      <w:r w:rsidRPr="0061333C">
        <w:rPr>
          <w:rFonts w:ascii="PragmaticaC" w:hAnsi="PragmaticaC"/>
          <w:color w:val="000000"/>
          <w:shd w:val="clear" w:color="auto" w:fill="FFFFFF"/>
        </w:rPr>
        <w:t>B</w:t>
      </w:r>
      <w:r w:rsidRPr="0061333C">
        <w:rPr>
          <w:rFonts w:ascii="PragmaticaC" w:hAnsi="PragmaticaC"/>
          <w:color w:val="000000"/>
          <w:shd w:val="clear" w:color="auto" w:fill="FFFFFF"/>
          <w:lang w:val="ru-RU"/>
        </w:rPr>
        <w:t>2</w:t>
      </w:r>
      <w:r w:rsidRPr="0061333C">
        <w:rPr>
          <w:rFonts w:ascii="PragmaticaC" w:hAnsi="PragmaticaC"/>
          <w:color w:val="000000"/>
          <w:shd w:val="clear" w:color="auto" w:fill="FFFFFF"/>
        </w:rPr>
        <w:t>B</w:t>
      </w:r>
      <w:r w:rsidRPr="0061333C">
        <w:rPr>
          <w:rFonts w:ascii="PragmaticaC" w:hAnsi="PragmaticaC"/>
          <w:color w:val="000000"/>
          <w:shd w:val="clear" w:color="auto" w:fill="FFFFFF"/>
          <w:lang w:val="ru-RU"/>
        </w:rPr>
        <w:t xml:space="preserve"> выставка в России и странах</w:t>
      </w:r>
      <w:r w:rsidRPr="00B705BA">
        <w:rPr>
          <w:rFonts w:ascii="PragmaticaC" w:hAnsi="PragmaticaC"/>
          <w:color w:val="000000"/>
          <w:shd w:val="clear" w:color="auto" w:fill="FFFFFF"/>
          <w:lang w:val="ru-RU"/>
        </w:rPr>
        <w:t xml:space="preserve"> СНГ в области системной интеграции, </w:t>
      </w:r>
      <w:r w:rsidRPr="000A67E3">
        <w:rPr>
          <w:rFonts w:ascii="PragmaticaC" w:hAnsi="PragmaticaC"/>
          <w:color w:val="000000"/>
          <w:shd w:val="clear" w:color="auto" w:fill="FFFFFF"/>
          <w:lang w:val="ru-RU"/>
        </w:rPr>
        <w:t xml:space="preserve">аудиовизуальных и информационно-коммуникационных технологий. </w:t>
      </w:r>
      <w:r w:rsidR="00A96EC4" w:rsidRPr="000A67E3">
        <w:rPr>
          <w:rFonts w:eastAsiaTheme="minorEastAsia"/>
          <w:lang w:val="ru-RU" w:eastAsia="ko-KR"/>
        </w:rPr>
        <w:t xml:space="preserve">Стенд площадью 154 квадратных метра делится на зон, где </w:t>
      </w:r>
      <w:r w:rsidRPr="000A67E3">
        <w:rPr>
          <w:rFonts w:eastAsiaTheme="minorEastAsia"/>
          <w:lang w:val="ru-RU" w:eastAsia="ko-KR"/>
        </w:rPr>
        <w:t xml:space="preserve">представлены различные </w:t>
      </w:r>
      <w:r w:rsidRPr="000A67E3">
        <w:rPr>
          <w:rFonts w:eastAsiaTheme="minorEastAsia"/>
          <w:lang w:eastAsia="ko-KR"/>
        </w:rPr>
        <w:t>B</w:t>
      </w:r>
      <w:r w:rsidRPr="000A67E3">
        <w:rPr>
          <w:rFonts w:eastAsiaTheme="minorEastAsia"/>
          <w:lang w:val="ru-RU" w:eastAsia="ko-KR"/>
        </w:rPr>
        <w:t>2</w:t>
      </w:r>
      <w:r w:rsidRPr="000A67E3">
        <w:rPr>
          <w:rFonts w:eastAsiaTheme="minorEastAsia"/>
          <w:lang w:eastAsia="ko-KR"/>
        </w:rPr>
        <w:t>B</w:t>
      </w:r>
      <w:r w:rsidRPr="000A67E3">
        <w:rPr>
          <w:rFonts w:eastAsiaTheme="minorEastAsia"/>
          <w:lang w:val="ru-RU" w:eastAsia="ko-KR"/>
        </w:rPr>
        <w:t xml:space="preserve"> решения </w:t>
      </w:r>
      <w:r w:rsidRPr="000A67E3">
        <w:rPr>
          <w:rFonts w:eastAsiaTheme="minorEastAsia"/>
          <w:lang w:eastAsia="ko-KR"/>
        </w:rPr>
        <w:t>LG</w:t>
      </w:r>
      <w:r w:rsidR="00A96EC4" w:rsidRPr="000A67E3">
        <w:rPr>
          <w:rFonts w:eastAsiaTheme="minorEastAsia"/>
          <w:lang w:val="ru-RU" w:eastAsia="ko-KR"/>
        </w:rPr>
        <w:t>.</w:t>
      </w:r>
      <w:r w:rsidRPr="000A67E3">
        <w:rPr>
          <w:rFonts w:eastAsiaTheme="minorEastAsia"/>
          <w:lang w:val="ru-RU" w:eastAsia="ko-KR"/>
        </w:rPr>
        <w:t xml:space="preserve"> Ключевые продукты этой выставки: </w:t>
      </w:r>
      <w:r w:rsidR="00A96EC4" w:rsidRPr="000A67E3">
        <w:rPr>
          <w:rFonts w:eastAsiaTheme="minorEastAsia"/>
          <w:lang w:val="ru-RU" w:eastAsia="ko-KR"/>
        </w:rPr>
        <w:t xml:space="preserve"> </w:t>
      </w:r>
      <w:r w:rsidRPr="000A67E3">
        <w:rPr>
          <w:rFonts w:eastAsiaTheme="minorEastAsia"/>
          <w:lang w:val="ru-RU" w:eastAsia="ko-KR"/>
        </w:rPr>
        <w:t xml:space="preserve">двусторонний OLED дисплей - </w:t>
      </w:r>
      <w:r w:rsidRPr="000A67E3">
        <w:rPr>
          <w:rFonts w:eastAsiaTheme="minorEastAsia"/>
          <w:lang w:eastAsia="ko-KR"/>
        </w:rPr>
        <w:t>LG</w:t>
      </w:r>
      <w:r w:rsidRPr="000A67E3">
        <w:rPr>
          <w:rFonts w:eastAsiaTheme="minorEastAsia"/>
          <w:lang w:val="ru-RU" w:eastAsia="ko-KR"/>
        </w:rPr>
        <w:t xml:space="preserve"> 55EH5C, ультраширокий дисплей – </w:t>
      </w:r>
      <w:r w:rsidRPr="000A67E3">
        <w:rPr>
          <w:rFonts w:eastAsiaTheme="minorEastAsia"/>
          <w:lang w:eastAsia="ko-KR"/>
        </w:rPr>
        <w:t>LG</w:t>
      </w:r>
      <w:r w:rsidRPr="000A67E3">
        <w:rPr>
          <w:rFonts w:eastAsiaTheme="minorEastAsia"/>
          <w:lang w:val="ru-RU" w:eastAsia="ko-KR"/>
        </w:rPr>
        <w:t xml:space="preserve"> 86BH5C, видеостенный дисплей с тонкой рамкой и матовым покрытием – </w:t>
      </w:r>
      <w:r w:rsidRPr="000A67E3">
        <w:rPr>
          <w:rFonts w:eastAsiaTheme="minorEastAsia"/>
          <w:lang w:eastAsia="ko-KR"/>
        </w:rPr>
        <w:t>LG</w:t>
      </w:r>
      <w:r w:rsidRPr="000A67E3">
        <w:rPr>
          <w:rFonts w:eastAsiaTheme="minorEastAsia"/>
          <w:lang w:val="ru-RU" w:eastAsia="ko-KR"/>
        </w:rPr>
        <w:t xml:space="preserve"> 55VH7B-H, линейка сверх</w:t>
      </w:r>
      <w:r w:rsidR="00FE51ED" w:rsidRPr="000A67E3">
        <w:rPr>
          <w:rFonts w:eastAsiaTheme="minorEastAsia"/>
          <w:lang w:val="ru-RU" w:eastAsia="ko-KR"/>
        </w:rPr>
        <w:t>ъ</w:t>
      </w:r>
      <w:r w:rsidRPr="000A67E3">
        <w:rPr>
          <w:rFonts w:eastAsiaTheme="minorEastAsia"/>
          <w:lang w:val="ru-RU" w:eastAsia="ko-KR"/>
        </w:rPr>
        <w:t xml:space="preserve">ярких дисплеев  – </w:t>
      </w:r>
      <w:r w:rsidRPr="000A67E3">
        <w:rPr>
          <w:rFonts w:eastAsiaTheme="minorEastAsia"/>
          <w:lang w:eastAsia="ko-KR"/>
        </w:rPr>
        <w:t>LG</w:t>
      </w:r>
      <w:r w:rsidRPr="000A67E3">
        <w:rPr>
          <w:rFonts w:eastAsiaTheme="minorEastAsia"/>
          <w:lang w:val="ru-RU" w:eastAsia="ko-KR"/>
        </w:rPr>
        <w:t xml:space="preserve"> 49XF2B, 55XF2B, 75XS2C, полная линейка UHD дисплеев </w:t>
      </w:r>
      <w:r w:rsidR="00E24DCF" w:rsidRPr="000A67E3">
        <w:rPr>
          <w:rFonts w:eastAsiaTheme="minorEastAsia"/>
          <w:lang w:eastAsia="ko-KR"/>
        </w:rPr>
        <w:t>LG</w:t>
      </w:r>
      <w:r w:rsidR="00E24DCF" w:rsidRPr="000A67E3">
        <w:rPr>
          <w:rFonts w:eastAsiaTheme="minorEastAsia"/>
          <w:lang w:val="ru-RU" w:eastAsia="ko-KR"/>
        </w:rPr>
        <w:t xml:space="preserve"> </w:t>
      </w:r>
      <w:r w:rsidRPr="000A67E3">
        <w:rPr>
          <w:rFonts w:eastAsiaTheme="minorEastAsia"/>
          <w:lang w:val="ru-RU" w:eastAsia="ko-KR"/>
        </w:rPr>
        <w:t>с</w:t>
      </w:r>
      <w:r w:rsidRPr="00B705BA">
        <w:rPr>
          <w:rFonts w:eastAsiaTheme="minorEastAsia"/>
          <w:lang w:val="ru-RU" w:eastAsia="ko-KR"/>
        </w:rPr>
        <w:t xml:space="preserve"> диагональю от 49” до 98” (49UH5B, 55UH5B, 65UH5B, 75UH5C, 86UH5C, 98LS95A)</w:t>
      </w:r>
      <w:r>
        <w:rPr>
          <w:rFonts w:eastAsiaTheme="minorEastAsia"/>
          <w:lang w:val="ru-RU" w:eastAsia="ko-KR"/>
        </w:rPr>
        <w:t>, г</w:t>
      </w:r>
      <w:r w:rsidRPr="00B705BA">
        <w:rPr>
          <w:rFonts w:eastAsiaTheme="minorEastAsia"/>
          <w:lang w:val="ru-RU" w:eastAsia="ko-KR"/>
        </w:rPr>
        <w:t>остиничное решение ProCentric</w:t>
      </w:r>
      <w:r w:rsidR="00B631F1">
        <w:rPr>
          <w:rFonts w:eastAsiaTheme="minorEastAsia"/>
          <w:lang w:val="ru-RU" w:eastAsia="ko-KR"/>
        </w:rPr>
        <w:t xml:space="preserve">, коммерческий холодильник </w:t>
      </w:r>
      <w:r w:rsidR="00E24DCF">
        <w:rPr>
          <w:rFonts w:eastAsiaTheme="minorEastAsia"/>
          <w:lang w:eastAsia="ko-KR"/>
        </w:rPr>
        <w:t>c</w:t>
      </w:r>
      <w:r w:rsidR="00E24DCF" w:rsidRPr="00E24DCF">
        <w:rPr>
          <w:rFonts w:eastAsiaTheme="minorEastAsia"/>
          <w:lang w:val="ru-RU" w:eastAsia="ko-KR"/>
        </w:rPr>
        <w:t xml:space="preserve"> </w:t>
      </w:r>
      <w:r w:rsidR="00E24DCF">
        <w:rPr>
          <w:rFonts w:eastAsiaTheme="minorEastAsia"/>
          <w:lang w:val="ru-RU" w:eastAsia="ko-KR"/>
        </w:rPr>
        <w:t xml:space="preserve">прозначным экраном </w:t>
      </w:r>
      <w:r w:rsidR="00B631F1">
        <w:rPr>
          <w:rFonts w:eastAsiaTheme="minorEastAsia"/>
          <w:lang w:eastAsia="ko-KR"/>
        </w:rPr>
        <w:t>LG</w:t>
      </w:r>
      <w:r w:rsidR="00B631F1" w:rsidRPr="00B631F1">
        <w:rPr>
          <w:rFonts w:eastAsiaTheme="minorEastAsia"/>
          <w:lang w:val="ru-RU" w:eastAsia="ko-KR"/>
        </w:rPr>
        <w:t>49</w:t>
      </w:r>
      <w:r w:rsidR="00B631F1">
        <w:rPr>
          <w:rFonts w:eastAsiaTheme="minorEastAsia"/>
          <w:lang w:eastAsia="ko-KR"/>
        </w:rPr>
        <w:t>WEC</w:t>
      </w:r>
      <w:r>
        <w:rPr>
          <w:rFonts w:eastAsiaTheme="minorEastAsia"/>
          <w:lang w:val="ru-RU" w:eastAsia="ko-KR"/>
        </w:rPr>
        <w:t>.</w:t>
      </w:r>
    </w:p>
    <w:p w:rsidR="002B75E3" w:rsidRDefault="002B75E3" w:rsidP="002B75E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2B75E3" w:rsidRDefault="002B75E3" w:rsidP="002B75E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2B75E3" w:rsidRDefault="002B75E3" w:rsidP="00B705B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B705BA" w:rsidRDefault="00B705BA" w:rsidP="00B705B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705BA">
        <w:rPr>
          <w:rFonts w:eastAsiaTheme="minorEastAsia"/>
          <w:lang w:val="ru-RU" w:eastAsia="ko-KR"/>
        </w:rPr>
        <w:t>OLED дисплеи LG позволяют получать яркое изображение с глубокими и насыщенными цветами, непревзойденной контрастностью</w:t>
      </w:r>
      <w:r>
        <w:rPr>
          <w:rFonts w:eastAsiaTheme="minorEastAsia"/>
          <w:lang w:val="ru-RU" w:eastAsia="ko-KR"/>
        </w:rPr>
        <w:t xml:space="preserve"> </w:t>
      </w:r>
      <w:r w:rsidRPr="00B705BA">
        <w:rPr>
          <w:rFonts w:eastAsiaTheme="minorEastAsia"/>
          <w:lang w:val="ru-RU" w:eastAsia="ko-KR"/>
        </w:rPr>
        <w:t>и максимальным уровнем четкости. Помимо традиционного формата с плоским экраном эти удивительные дисплеи доступны в виде изогнутой</w:t>
      </w:r>
      <w:r>
        <w:rPr>
          <w:rFonts w:eastAsiaTheme="minorEastAsia"/>
          <w:lang w:val="ru-RU" w:eastAsia="ko-KR"/>
        </w:rPr>
        <w:t xml:space="preserve"> </w:t>
      </w:r>
      <w:r w:rsidRPr="00B705BA">
        <w:rPr>
          <w:rFonts w:eastAsiaTheme="minorEastAsia"/>
          <w:lang w:val="ru-RU" w:eastAsia="ko-KR"/>
        </w:rPr>
        <w:t>видеостены, двусторонних дисплеев и арочных конструкций.</w:t>
      </w:r>
      <w:r>
        <w:rPr>
          <w:rFonts w:eastAsiaTheme="minorEastAsia"/>
          <w:lang w:val="ru-RU" w:eastAsia="ko-KR"/>
        </w:rPr>
        <w:t xml:space="preserve"> </w:t>
      </w:r>
      <w:r w:rsidRPr="00B705BA">
        <w:rPr>
          <w:rFonts w:eastAsiaTheme="minorEastAsia"/>
          <w:lang w:val="ru-RU" w:eastAsia="ko-KR"/>
        </w:rPr>
        <w:t>Захватывающее качество изображения и инновационный дизайн OLED дисплеев LG помогут создать уникальное информационное</w:t>
      </w:r>
      <w:r>
        <w:rPr>
          <w:rFonts w:eastAsiaTheme="minorEastAsia"/>
          <w:lang w:val="ru-RU" w:eastAsia="ko-KR"/>
        </w:rPr>
        <w:t xml:space="preserve"> </w:t>
      </w:r>
      <w:r w:rsidRPr="00B705BA">
        <w:rPr>
          <w:rFonts w:eastAsiaTheme="minorEastAsia"/>
          <w:lang w:val="ru-RU" w:eastAsia="ko-KR"/>
        </w:rPr>
        <w:t>пространство и привлечь новых клиентов.</w:t>
      </w:r>
    </w:p>
    <w:p w:rsidR="00364A32" w:rsidRDefault="00B705BA" w:rsidP="00364A3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eastAsia="ko-KR"/>
        </w:rPr>
        <w:t>U</w:t>
      </w:r>
      <w:r w:rsidRPr="00B705BA">
        <w:rPr>
          <w:rFonts w:eastAsiaTheme="minorEastAsia"/>
          <w:lang w:val="ru-RU" w:eastAsia="ko-KR"/>
        </w:rPr>
        <w:t xml:space="preserve">ltra stretch дисплей с диагональю 86" </w:t>
      </w:r>
      <w:r>
        <w:rPr>
          <w:rFonts w:eastAsiaTheme="minorEastAsia"/>
          <w:lang w:val="ru-RU" w:eastAsia="ko-KR"/>
        </w:rPr>
        <w:t>имеет у</w:t>
      </w:r>
      <w:r w:rsidRPr="00B705BA">
        <w:rPr>
          <w:rFonts w:eastAsiaTheme="minorEastAsia"/>
          <w:lang w:val="ru-RU" w:eastAsia="ko-KR"/>
        </w:rPr>
        <w:t>никальный формат</w:t>
      </w:r>
      <w:r>
        <w:rPr>
          <w:rFonts w:eastAsiaTheme="minorEastAsia"/>
          <w:lang w:val="ru-RU" w:eastAsia="ko-KR"/>
        </w:rPr>
        <w:t>, который</w:t>
      </w:r>
      <w:r w:rsidRPr="00B705BA">
        <w:rPr>
          <w:rFonts w:eastAsiaTheme="minorEastAsia"/>
          <w:lang w:val="ru-RU" w:eastAsia="ko-KR"/>
        </w:rPr>
        <w:t xml:space="preserve"> позволяет по-новому взглянуть на привычные способы размещения рекламного</w:t>
      </w:r>
      <w:r w:rsidR="00943462">
        <w:rPr>
          <w:rFonts w:eastAsiaTheme="minorEastAsia"/>
          <w:lang w:val="ru-RU" w:eastAsia="ko-KR"/>
        </w:rPr>
        <w:t xml:space="preserve"> </w:t>
      </w:r>
      <w:r w:rsidRPr="00B705BA">
        <w:rPr>
          <w:rFonts w:eastAsiaTheme="minorEastAsia"/>
          <w:lang w:val="ru-RU" w:eastAsia="ko-KR"/>
        </w:rPr>
        <w:t>и информационного контента.</w:t>
      </w:r>
      <w:r w:rsidR="001E2931">
        <w:rPr>
          <w:rFonts w:eastAsiaTheme="minorEastAsia"/>
          <w:lang w:val="ru-RU" w:eastAsia="ko-KR"/>
        </w:rPr>
        <w:t xml:space="preserve"> </w:t>
      </w:r>
      <w:r w:rsidR="001E2931" w:rsidRPr="001E2931">
        <w:rPr>
          <w:rFonts w:eastAsiaTheme="minorEastAsia"/>
          <w:lang w:val="ru-RU" w:eastAsia="ko-KR"/>
        </w:rPr>
        <w:t xml:space="preserve">Функция PBP (картинка рядом с </w:t>
      </w:r>
      <w:r w:rsidR="001E2931" w:rsidRPr="001E2931">
        <w:rPr>
          <w:rFonts w:eastAsiaTheme="minorEastAsia"/>
          <w:lang w:val="ru-RU" w:eastAsia="ko-KR"/>
        </w:rPr>
        <w:lastRenderedPageBreak/>
        <w:t>картинкой) позволяет вывести 2, 3</w:t>
      </w:r>
      <w:r w:rsidR="001E2931">
        <w:rPr>
          <w:rFonts w:eastAsiaTheme="minorEastAsia"/>
          <w:lang w:val="ru-RU" w:eastAsia="ko-KR"/>
        </w:rPr>
        <w:t xml:space="preserve"> </w:t>
      </w:r>
      <w:r w:rsidR="001E2931" w:rsidRPr="001E2931">
        <w:rPr>
          <w:rFonts w:eastAsiaTheme="minorEastAsia"/>
          <w:lang w:val="ru-RU" w:eastAsia="ko-KR"/>
        </w:rPr>
        <w:t xml:space="preserve">или 4 независимых изображения и </w:t>
      </w:r>
      <w:r w:rsidR="001E2931">
        <w:rPr>
          <w:rFonts w:eastAsiaTheme="minorEastAsia"/>
          <w:lang w:val="ru-RU" w:eastAsia="ko-KR"/>
        </w:rPr>
        <w:t>использовать размер экрана мак</w:t>
      </w:r>
      <w:r w:rsidR="001E2931" w:rsidRPr="001E2931">
        <w:rPr>
          <w:rFonts w:eastAsiaTheme="minorEastAsia"/>
          <w:lang w:val="ru-RU" w:eastAsia="ko-KR"/>
        </w:rPr>
        <w:t>симально эффективно.</w:t>
      </w:r>
      <w:r w:rsidR="00364A32">
        <w:rPr>
          <w:rFonts w:eastAsiaTheme="minorEastAsia"/>
          <w:lang w:val="ru-RU" w:eastAsia="ko-KR"/>
        </w:rPr>
        <w:t xml:space="preserve"> </w:t>
      </w:r>
      <w:r w:rsidR="00364A32" w:rsidRPr="00364A32">
        <w:rPr>
          <w:rFonts w:eastAsiaTheme="minorEastAsia"/>
          <w:lang w:val="ru-RU" w:eastAsia="ko-KR"/>
        </w:rPr>
        <w:t>Не имеющее аналогов соотношение сторон дисплея 58:9 позволяет</w:t>
      </w:r>
      <w:r w:rsidR="00364A32">
        <w:rPr>
          <w:rFonts w:eastAsiaTheme="minorEastAsia"/>
          <w:lang w:val="ru-RU" w:eastAsia="ko-KR"/>
        </w:rPr>
        <w:t xml:space="preserve"> </w:t>
      </w:r>
      <w:r w:rsidR="00364A32" w:rsidRPr="00364A32">
        <w:rPr>
          <w:rFonts w:eastAsiaTheme="minorEastAsia"/>
          <w:lang w:val="ru-RU" w:eastAsia="ko-KR"/>
        </w:rPr>
        <w:t>разместить максимум информации сохраняя компактные размеры.</w:t>
      </w:r>
      <w:r w:rsidR="00F15D6B">
        <w:rPr>
          <w:rFonts w:eastAsiaTheme="minorEastAsia"/>
          <w:lang w:val="ru-RU" w:eastAsia="ko-KR"/>
        </w:rPr>
        <w:t xml:space="preserve"> </w:t>
      </w:r>
    </w:p>
    <w:p w:rsidR="002B75E3" w:rsidRDefault="002B75E3" w:rsidP="002B75E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2B75E3" w:rsidRDefault="002B75E3" w:rsidP="002B75E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2B75E3" w:rsidRDefault="002B75E3" w:rsidP="00364A3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087A25" w:rsidRPr="00CE0B1E" w:rsidRDefault="0061333C" w:rsidP="00087A2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1333C">
        <w:rPr>
          <w:rFonts w:eastAsiaTheme="minorEastAsia"/>
          <w:lang w:val="ru-RU" w:eastAsia="ko-KR"/>
        </w:rPr>
        <w:t xml:space="preserve">Профессиональные дисплеи LG для видеостен с ультратонкой рамкой </w:t>
      </w:r>
      <w:r w:rsidR="003F526A">
        <w:rPr>
          <w:rFonts w:eastAsiaTheme="minorEastAsia"/>
          <w:lang w:val="ru-RU" w:eastAsia="ko-KR"/>
        </w:rPr>
        <w:t xml:space="preserve">(флагманская модель - </w:t>
      </w:r>
      <w:r w:rsidR="003F526A" w:rsidRPr="0061333C">
        <w:rPr>
          <w:rFonts w:eastAsiaTheme="minorEastAsia"/>
          <w:lang w:val="ru-RU" w:eastAsia="ko-KR"/>
        </w:rPr>
        <w:t>55VH7B-H</w:t>
      </w:r>
      <w:r w:rsidR="003F526A">
        <w:rPr>
          <w:rFonts w:eastAsiaTheme="minorEastAsia"/>
          <w:lang w:val="ru-RU" w:eastAsia="ko-KR"/>
        </w:rPr>
        <w:t xml:space="preserve">) </w:t>
      </w:r>
      <w:r w:rsidRPr="0061333C">
        <w:rPr>
          <w:rFonts w:eastAsiaTheme="minorEastAsia"/>
          <w:lang w:val="ru-RU" w:eastAsia="ko-KR"/>
        </w:rPr>
        <w:t>можно использовать для создания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масштабных инсталляций, комбинируя их</w:t>
      </w:r>
      <w:r w:rsidR="00EB0CA7">
        <w:rPr>
          <w:rFonts w:eastAsiaTheme="minorEastAsia"/>
          <w:lang w:val="ru-RU" w:eastAsia="ko-KR"/>
        </w:rPr>
        <w:t xml:space="preserve"> по-разному</w:t>
      </w:r>
      <w:r w:rsidRPr="0061333C">
        <w:rPr>
          <w:rFonts w:eastAsiaTheme="minorEastAsia"/>
          <w:lang w:val="ru-RU" w:eastAsia="ko-KR"/>
        </w:rPr>
        <w:t xml:space="preserve">. Это </w:t>
      </w:r>
      <w:r w:rsidR="00EB0CA7">
        <w:rPr>
          <w:rFonts w:eastAsiaTheme="minorEastAsia"/>
          <w:lang w:val="ru-RU" w:eastAsia="ko-KR"/>
        </w:rPr>
        <w:t>оптималь</w:t>
      </w:r>
      <w:r w:rsidRPr="0061333C">
        <w:rPr>
          <w:rFonts w:eastAsiaTheme="minorEastAsia"/>
          <w:lang w:val="ru-RU" w:eastAsia="ko-KR"/>
        </w:rPr>
        <w:t>ное решение как для небольших</w:t>
      </w:r>
      <w:r>
        <w:rPr>
          <w:rFonts w:eastAsiaTheme="minorEastAsia"/>
          <w:lang w:val="ru-RU" w:eastAsia="ko-KR"/>
        </w:rPr>
        <w:t xml:space="preserve"> п</w:t>
      </w:r>
      <w:r w:rsidRPr="0061333C">
        <w:rPr>
          <w:rFonts w:eastAsiaTheme="minorEastAsia"/>
          <w:lang w:val="ru-RU" w:eastAsia="ko-KR"/>
        </w:rPr>
        <w:t xml:space="preserve">омещений, так и для огромных залов. Ультратонкая рамка с суммарной </w:t>
      </w:r>
      <w:r>
        <w:rPr>
          <w:rFonts w:eastAsiaTheme="minorEastAsia"/>
          <w:lang w:val="ru-RU" w:eastAsia="ko-KR"/>
        </w:rPr>
        <w:t>толщиной стыка менее 2 мм позво</w:t>
      </w:r>
      <w:r w:rsidRPr="0061333C">
        <w:rPr>
          <w:rFonts w:eastAsiaTheme="minorEastAsia"/>
          <w:lang w:val="ru-RU" w:eastAsia="ko-KR"/>
        </w:rPr>
        <w:t>ляет заказчикам создавать эффектную и современную видеостену,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простую в установке, обслуживании и управлении. Изображение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на такой видеостене выглятит как единое целое.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Благодаря специальному алгор</w:t>
      </w:r>
      <w:r>
        <w:rPr>
          <w:rFonts w:eastAsiaTheme="minorEastAsia"/>
          <w:lang w:val="ru-RU" w:eastAsia="ko-KR"/>
        </w:rPr>
        <w:t>итму дисплеи VH7B позволяют ком</w:t>
      </w:r>
      <w:r w:rsidRPr="0061333C">
        <w:rPr>
          <w:rFonts w:eastAsiaTheme="minorEastAsia"/>
          <w:lang w:val="ru-RU" w:eastAsia="ko-KR"/>
        </w:rPr>
        <w:t>пенсировать смещение объектов на стыках панелей при отображении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динамичных сцен.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Улучшенная технология светодиодной подсветки LG обеспечивает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высокую равномерность подсве</w:t>
      </w:r>
      <w:r>
        <w:rPr>
          <w:rFonts w:eastAsiaTheme="minorEastAsia"/>
          <w:lang w:val="ru-RU" w:eastAsia="ko-KR"/>
        </w:rPr>
        <w:t>тки. Благодаря улучшенной равно</w:t>
      </w:r>
      <w:r w:rsidRPr="0061333C">
        <w:rPr>
          <w:rFonts w:eastAsiaTheme="minorEastAsia"/>
          <w:lang w:val="ru-RU" w:eastAsia="ko-KR"/>
        </w:rPr>
        <w:t>мерности подсветки изображение на стыках панелей выглядит более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естественно.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Антибликовое покрытие позволяет заметно уменьшить</w:t>
      </w:r>
      <w:r>
        <w:rPr>
          <w:rFonts w:eastAsiaTheme="minorEastAsia"/>
          <w:lang w:val="ru-RU" w:eastAsia="ko-KR"/>
        </w:rPr>
        <w:t xml:space="preserve"> </w:t>
      </w:r>
      <w:r w:rsidRPr="0061333C">
        <w:rPr>
          <w:rFonts w:eastAsiaTheme="minorEastAsia"/>
          <w:lang w:val="ru-RU" w:eastAsia="ko-KR"/>
        </w:rPr>
        <w:t>отражения от ярких источников свет</w:t>
      </w:r>
      <w:r>
        <w:rPr>
          <w:rFonts w:eastAsiaTheme="minorEastAsia"/>
          <w:lang w:val="ru-RU" w:eastAsia="ko-KR"/>
        </w:rPr>
        <w:t>а, сохраняя при этом яркие насы</w:t>
      </w:r>
      <w:r w:rsidR="003F526A">
        <w:rPr>
          <w:rFonts w:eastAsiaTheme="minorEastAsia"/>
          <w:lang w:val="ru-RU" w:eastAsia="ko-KR"/>
        </w:rPr>
        <w:t>щенные цвета</w:t>
      </w:r>
      <w:r w:rsidRPr="0061333C">
        <w:rPr>
          <w:rFonts w:eastAsiaTheme="minorEastAsia"/>
          <w:lang w:val="ru-RU" w:eastAsia="ko-KR"/>
        </w:rPr>
        <w:t>.</w:t>
      </w:r>
    </w:p>
    <w:p w:rsidR="00087A25" w:rsidRPr="00D87DE7" w:rsidRDefault="00087A25" w:rsidP="00087A25">
      <w:pPr>
        <w:pStyle w:val="NormalWeb"/>
        <w:jc w:val="both"/>
        <w:rPr>
          <w:lang w:val="ru-RU"/>
        </w:rPr>
      </w:pPr>
    </w:p>
    <w:p w:rsidR="00087A25" w:rsidRDefault="00DB549E" w:rsidP="00087A25">
      <w:r>
        <w:pict>
          <v:rect id="_x0000_i1025" style="width:0;height:1.5pt" o:hralign="center" o:hrstd="t" o:hr="t" fillcolor="gray" stroked="f"/>
        </w:pict>
      </w:r>
    </w:p>
    <w:p w:rsidR="00087A25" w:rsidRDefault="00087A25" w:rsidP="00087A25">
      <w:pPr>
        <w:pStyle w:val="NormalWeb"/>
        <w:jc w:val="both"/>
      </w:pPr>
      <w:r>
        <w:t> </w:t>
      </w:r>
    </w:p>
    <w:p w:rsidR="00087A25" w:rsidRPr="001A0435" w:rsidRDefault="00087A25" w:rsidP="00087A25">
      <w:pPr>
        <w:shd w:val="clear" w:color="auto" w:fill="FFFFFF"/>
        <w:spacing w:before="150"/>
        <w:jc w:val="both"/>
        <w:rPr>
          <w:rFonts w:eastAsia="Times New Roman"/>
          <w:color w:val="333333"/>
          <w:sz w:val="22"/>
          <w:szCs w:val="22"/>
          <w:lang w:val="ru-RU" w:eastAsia="ru-RU"/>
        </w:rPr>
      </w:pPr>
      <w:r w:rsidRPr="001A0435">
        <w:rPr>
          <w:rFonts w:eastAsia="Times New Roman"/>
          <w:color w:val="993366"/>
          <w:sz w:val="22"/>
          <w:szCs w:val="22"/>
          <w:lang w:val="ru-RU" w:eastAsia="ru-RU"/>
        </w:rPr>
        <w:t>О компании LG Electronics</w:t>
      </w:r>
    </w:p>
    <w:p w:rsidR="00087A25" w:rsidRPr="001A0435" w:rsidRDefault="00087A25" w:rsidP="00087A25">
      <w:pPr>
        <w:shd w:val="clear" w:color="auto" w:fill="FFFFFF"/>
        <w:spacing w:before="150"/>
        <w:jc w:val="both"/>
        <w:rPr>
          <w:rFonts w:eastAsia="Times New Roman"/>
          <w:color w:val="333333"/>
          <w:sz w:val="22"/>
          <w:szCs w:val="22"/>
          <w:lang w:val="ru-RU" w:eastAsia="ru-RU"/>
        </w:rPr>
      </w:pPr>
      <w:r w:rsidRPr="001A0435">
        <w:rPr>
          <w:rFonts w:eastAsia="Times New Roman"/>
          <w:color w:val="333333"/>
          <w:sz w:val="22"/>
          <w:szCs w:val="22"/>
          <w:lang w:val="ru-RU" w:eastAsia="ru-RU"/>
        </w:rPr>
        <w:t>Компания LG Electronics (KSE: 066570.KS) является мировым лидером в производстве высокотехнологичной электроники, современных средств мобильной связи и бытовой техники. В компании по всему миру работает 77 000 тысяч человек в 125 филиалах. Компания LG состоит из четырех подразделений: Home Entertainment, Mobile Communications, Home Appliance&amp;Air Solution и Vehicle Components, общий объем мировых продаж которых в 2015 году составил 48,8 млрд. долларов США (56,5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1A0435">
        <w:rPr>
          <w:rFonts w:eastAsia="Times New Roman"/>
          <w:color w:val="333333"/>
          <w:sz w:val="22"/>
          <w:szCs w:val="22"/>
          <w:lang w:eastAsia="ru-RU"/>
        </w:rPr>
        <w:t xml:space="preserve"> LG Electronics </w:t>
      </w:r>
      <w:r w:rsidRPr="001A0435">
        <w:rPr>
          <w:rFonts w:eastAsia="Times New Roman"/>
          <w:color w:val="333333"/>
          <w:sz w:val="22"/>
          <w:szCs w:val="22"/>
          <w:lang w:val="ru-RU" w:eastAsia="ru-RU"/>
        </w:rPr>
        <w:t>лауреат</w:t>
      </w:r>
      <w:r w:rsidRPr="001A0435">
        <w:rPr>
          <w:rFonts w:eastAsia="Times New Roman"/>
          <w:color w:val="333333"/>
          <w:sz w:val="22"/>
          <w:szCs w:val="22"/>
          <w:lang w:eastAsia="ru-RU"/>
        </w:rPr>
        <w:t xml:space="preserve"> </w:t>
      </w:r>
      <w:r w:rsidRPr="001A0435">
        <w:rPr>
          <w:rFonts w:eastAsia="Times New Roman"/>
          <w:color w:val="333333"/>
          <w:sz w:val="22"/>
          <w:szCs w:val="22"/>
          <w:lang w:val="ru-RU" w:eastAsia="ru-RU"/>
        </w:rPr>
        <w:t>премии</w:t>
      </w:r>
      <w:r w:rsidRPr="001A0435">
        <w:rPr>
          <w:rFonts w:eastAsia="Times New Roman"/>
          <w:color w:val="333333"/>
          <w:sz w:val="22"/>
          <w:szCs w:val="22"/>
          <w:lang w:eastAsia="ru-RU"/>
        </w:rPr>
        <w:t xml:space="preserve"> 2016 ENERGY STAR Partner of the Year. </w:t>
      </w:r>
      <w:r w:rsidRPr="001A0435">
        <w:rPr>
          <w:rFonts w:eastAsia="Times New Roman"/>
          <w:color w:val="333333"/>
          <w:sz w:val="22"/>
          <w:szCs w:val="22"/>
          <w:lang w:val="ru-RU" w:eastAsia="ru-RU"/>
        </w:rPr>
        <w:t>За дополнительной информацией, пожалуйста, обратитесь к </w:t>
      </w:r>
      <w:hyperlink r:id="rId8" w:history="1">
        <w:r w:rsidRPr="001A0435">
          <w:rPr>
            <w:rFonts w:eastAsia="Times New Roman"/>
            <w:color w:val="A50034"/>
            <w:sz w:val="22"/>
            <w:szCs w:val="22"/>
            <w:lang w:val="ru-RU" w:eastAsia="ru-RU"/>
          </w:rPr>
          <w:t>www.lg.ru</w:t>
        </w:r>
      </w:hyperlink>
      <w:r w:rsidRPr="001A0435">
        <w:rPr>
          <w:rFonts w:eastAsia="Times New Roman"/>
          <w:color w:val="333333"/>
          <w:sz w:val="22"/>
          <w:szCs w:val="22"/>
          <w:lang w:val="ru-RU" w:eastAsia="ru-RU"/>
        </w:rPr>
        <w:t>.</w:t>
      </w:r>
    </w:p>
    <w:p w:rsidR="00087A25" w:rsidRPr="00693361" w:rsidRDefault="00087A25" w:rsidP="00087A25">
      <w:pPr>
        <w:pStyle w:val="NormalWeb"/>
        <w:jc w:val="both"/>
        <w:rPr>
          <w:lang w:val="ru-RU"/>
        </w:rPr>
      </w:pPr>
    </w:p>
    <w:p w:rsidR="00087A25" w:rsidRPr="00693361" w:rsidRDefault="00087A25" w:rsidP="00087A25">
      <w:pPr>
        <w:pStyle w:val="NormalWeb"/>
        <w:jc w:val="center"/>
        <w:rPr>
          <w:lang w:val="ru-RU"/>
        </w:rPr>
      </w:pPr>
      <w:r>
        <w:t> </w:t>
      </w:r>
    </w:p>
    <w:p w:rsidR="00087A25" w:rsidRPr="00693361" w:rsidRDefault="00DB549E" w:rsidP="00087A25">
      <w:pPr>
        <w:pStyle w:val="NormalWeb"/>
        <w:rPr>
          <w:lang w:val="ru-RU"/>
        </w:rPr>
      </w:pPr>
      <w:hyperlink r:id="rId9" w:history="1">
        <w:r w:rsidR="00087A25">
          <w:rPr>
            <w:rStyle w:val="Strong"/>
            <w:color w:val="0000FF"/>
            <w:u w:val="single"/>
          </w:rPr>
          <w:t>www</w:t>
        </w:r>
        <w:r w:rsidR="00087A25" w:rsidRPr="00693361">
          <w:rPr>
            <w:rStyle w:val="Strong"/>
            <w:color w:val="0000FF"/>
            <w:u w:val="single"/>
            <w:lang w:val="ru-RU"/>
          </w:rPr>
          <w:t>.</w:t>
        </w:r>
        <w:r w:rsidR="00087A25">
          <w:rPr>
            <w:rStyle w:val="Strong"/>
            <w:color w:val="0000FF"/>
            <w:u w:val="single"/>
          </w:rPr>
          <w:t>lg</w:t>
        </w:r>
        <w:r w:rsidR="00087A25" w:rsidRPr="00693361">
          <w:rPr>
            <w:rStyle w:val="Strong"/>
            <w:color w:val="0000FF"/>
            <w:u w:val="single"/>
            <w:lang w:val="ru-RU"/>
          </w:rPr>
          <w:t>.</w:t>
        </w:r>
        <w:r w:rsidR="00087A25">
          <w:rPr>
            <w:rStyle w:val="Strong"/>
            <w:color w:val="0000FF"/>
            <w:u w:val="single"/>
          </w:rPr>
          <w:t>com</w:t>
        </w:r>
      </w:hyperlink>
    </w:p>
    <w:tbl>
      <w:tblPr>
        <w:tblW w:w="11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10899"/>
      </w:tblGrid>
      <w:tr w:rsidR="00087A25" w:rsidRPr="001C4686" w:rsidTr="003437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7A25" w:rsidRPr="00693361" w:rsidRDefault="00087A25" w:rsidP="00343705">
            <w:pPr>
              <w:pStyle w:val="NormalWeb"/>
              <w:rPr>
                <w:lang w:val="ru-RU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87A25" w:rsidRPr="00693361" w:rsidRDefault="00087A25" w:rsidP="00343705">
            <w:pPr>
              <w:pStyle w:val="NormalWeb"/>
              <w:rPr>
                <w:lang w:val="ru-RU"/>
              </w:rPr>
            </w:pPr>
            <w:r w:rsidRPr="00693361">
              <w:rPr>
                <w:lang w:val="ru-RU"/>
              </w:rPr>
              <w:br/>
            </w:r>
            <w:r w:rsidRPr="00693361">
              <w:rPr>
                <w:rStyle w:val="Strong"/>
                <w:lang w:val="ru-RU"/>
              </w:rPr>
              <w:t>Читайте нас в социальных сетях</w:t>
            </w:r>
          </w:p>
          <w:p w:rsidR="00087A25" w:rsidRPr="00693361" w:rsidRDefault="00087A25" w:rsidP="00343705">
            <w:pPr>
              <w:pStyle w:val="NormalWeb"/>
              <w:rPr>
                <w:lang w:val="ru-RU"/>
              </w:rPr>
            </w:pPr>
            <w:r w:rsidRPr="00693361">
              <w:rPr>
                <w:rStyle w:val="Strong"/>
                <w:lang w:val="ru-RU"/>
              </w:rPr>
              <w:t>Вконтакте</w:t>
            </w:r>
            <w:r>
              <w:t> </w:t>
            </w:r>
            <w:r w:rsidRPr="00693361">
              <w:rPr>
                <w:lang w:val="ru-RU"/>
              </w:rPr>
              <w:t>—</w:t>
            </w:r>
            <w:r>
              <w:t> </w:t>
            </w:r>
            <w:hyperlink r:id="rId10" w:history="1">
              <w:r>
                <w:rPr>
                  <w:rStyle w:val="Strong"/>
                  <w:color w:val="0000FF"/>
                  <w:u w:val="single"/>
                </w:rPr>
                <w:t>www</w:t>
              </w:r>
              <w:r w:rsidRPr="00693361">
                <w:rPr>
                  <w:rStyle w:val="Strong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rong"/>
                  <w:color w:val="0000FF"/>
                  <w:u w:val="single"/>
                </w:rPr>
                <w:t>vk</w:t>
              </w:r>
              <w:r w:rsidRPr="00693361">
                <w:rPr>
                  <w:rStyle w:val="Strong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rong"/>
                  <w:color w:val="0000FF"/>
                  <w:u w:val="single"/>
                </w:rPr>
                <w:t>com</w:t>
              </w:r>
              <w:r w:rsidRPr="00693361">
                <w:rPr>
                  <w:rStyle w:val="Strong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rong"/>
                  <w:color w:val="0000FF"/>
                  <w:u w:val="single"/>
                </w:rPr>
                <w:t>lgrussia</w:t>
              </w:r>
            </w:hyperlink>
            <w:r w:rsidRPr="00693361">
              <w:rPr>
                <w:lang w:val="ru-RU"/>
              </w:rPr>
              <w:br/>
            </w:r>
            <w:r w:rsidRPr="00693361">
              <w:rPr>
                <w:rStyle w:val="Strong"/>
                <w:lang w:val="ru-RU"/>
              </w:rPr>
              <w:t>Фейсбук</w:t>
            </w:r>
            <w:r>
              <w:t> </w:t>
            </w:r>
            <w:r w:rsidRPr="00693361">
              <w:rPr>
                <w:lang w:val="ru-RU"/>
              </w:rPr>
              <w:t>—</w:t>
            </w:r>
            <w:r>
              <w:t> </w:t>
            </w:r>
            <w:hyperlink r:id="rId11" w:history="1">
              <w:r>
                <w:rPr>
                  <w:rStyle w:val="Strong"/>
                  <w:color w:val="0000FF"/>
                  <w:u w:val="single"/>
                </w:rPr>
                <w:t>www</w:t>
              </w:r>
              <w:r w:rsidRPr="00693361">
                <w:rPr>
                  <w:rStyle w:val="Strong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rong"/>
                  <w:color w:val="0000FF"/>
                  <w:u w:val="single"/>
                </w:rPr>
                <w:t>facebook</w:t>
              </w:r>
              <w:r w:rsidRPr="00693361">
                <w:rPr>
                  <w:rStyle w:val="Strong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rong"/>
                  <w:color w:val="0000FF"/>
                  <w:u w:val="single"/>
                </w:rPr>
                <w:t>com</w:t>
              </w:r>
              <w:r w:rsidRPr="00693361">
                <w:rPr>
                  <w:rStyle w:val="Strong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rong"/>
                  <w:color w:val="0000FF"/>
                  <w:u w:val="single"/>
                </w:rPr>
                <w:t>lgrussia</w:t>
              </w:r>
            </w:hyperlink>
            <w:r w:rsidRPr="00693361">
              <w:rPr>
                <w:lang w:val="ru-RU"/>
              </w:rPr>
              <w:br/>
            </w:r>
            <w:r w:rsidRPr="00693361">
              <w:rPr>
                <w:rStyle w:val="Strong"/>
                <w:lang w:val="ru-RU"/>
              </w:rPr>
              <w:t>Одноклассники</w:t>
            </w:r>
            <w:r>
              <w:rPr>
                <w:rStyle w:val="Strong"/>
              </w:rPr>
              <w:t> </w:t>
            </w:r>
            <w:r w:rsidRPr="00693361">
              <w:rPr>
                <w:lang w:val="ru-RU"/>
              </w:rPr>
              <w:t>—</w:t>
            </w:r>
            <w:r>
              <w:t> </w:t>
            </w:r>
            <w:hyperlink r:id="rId12" w:history="1">
              <w:r>
                <w:rPr>
                  <w:rStyle w:val="Strong"/>
                  <w:color w:val="0000FF"/>
                  <w:u w:val="single"/>
                </w:rPr>
                <w:t>www</w:t>
              </w:r>
              <w:r w:rsidRPr="00693361">
                <w:rPr>
                  <w:rStyle w:val="Strong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rong"/>
                  <w:color w:val="0000FF"/>
                  <w:u w:val="single"/>
                </w:rPr>
                <w:t>odnoklassniki</w:t>
              </w:r>
              <w:r w:rsidRPr="00693361">
                <w:rPr>
                  <w:rStyle w:val="Strong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rong"/>
                  <w:color w:val="0000FF"/>
                  <w:u w:val="single"/>
                </w:rPr>
                <w:t>ru</w:t>
              </w:r>
              <w:r w:rsidRPr="00693361">
                <w:rPr>
                  <w:rStyle w:val="Strong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rong"/>
                  <w:color w:val="0000FF"/>
                  <w:u w:val="single"/>
                </w:rPr>
                <w:t>lgrussia</w:t>
              </w:r>
            </w:hyperlink>
          </w:p>
        </w:tc>
      </w:tr>
    </w:tbl>
    <w:p w:rsidR="00087A25" w:rsidRPr="00D87DE7" w:rsidRDefault="00087A25" w:rsidP="00087A25">
      <w:pPr>
        <w:widowControl w:val="0"/>
        <w:wordWrap w:val="0"/>
        <w:autoSpaceDE w:val="0"/>
        <w:autoSpaceDN w:val="0"/>
        <w:jc w:val="both"/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</w:pPr>
    </w:p>
    <w:p w:rsidR="00087A25" w:rsidRPr="00CE0B1E" w:rsidRDefault="00087A25" w:rsidP="00087A25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952000" w:rsidRPr="00734035" w:rsidRDefault="00952000" w:rsidP="00087A25">
      <w:pPr>
        <w:spacing w:line="360" w:lineRule="auto"/>
        <w:jc w:val="both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13"/>
      <w:footerReference w:type="even" r:id="rId14"/>
      <w:footerReference w:type="default" r:id="rId15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49E" w:rsidRDefault="00DB549E">
      <w:r>
        <w:separator/>
      </w:r>
    </w:p>
  </w:endnote>
  <w:endnote w:type="continuationSeparator" w:id="0">
    <w:p w:rsidR="00DB549E" w:rsidRDefault="00DB5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agmaticaC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36C" w:rsidRDefault="004B6FEB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36C" w:rsidRDefault="004B6FEB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4686">
      <w:rPr>
        <w:rStyle w:val="PageNumber"/>
        <w:noProof/>
      </w:rPr>
      <w:t>1</w: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49E" w:rsidRDefault="00DB549E">
      <w:r>
        <w:separator/>
      </w:r>
    </w:p>
  </w:footnote>
  <w:footnote w:type="continuationSeparator" w:id="0">
    <w:p w:rsidR="00DB549E" w:rsidRDefault="00DB54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3236C" w:rsidRDefault="00C3236C" w:rsidP="00F44249">
    <w:pPr>
      <w:pStyle w:val="Header"/>
    </w:pPr>
  </w:p>
  <w:p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63E45EF5"/>
    <w:multiLevelType w:val="hybridMultilevel"/>
    <w:tmpl w:val="03506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7CB"/>
    <w:rsid w:val="00000CB4"/>
    <w:rsid w:val="00000CF4"/>
    <w:rsid w:val="00001EFC"/>
    <w:rsid w:val="000043ED"/>
    <w:rsid w:val="00016260"/>
    <w:rsid w:val="00016320"/>
    <w:rsid w:val="0002538B"/>
    <w:rsid w:val="000311FE"/>
    <w:rsid w:val="0003713D"/>
    <w:rsid w:val="0004198C"/>
    <w:rsid w:val="00041E10"/>
    <w:rsid w:val="000472EC"/>
    <w:rsid w:val="000601EF"/>
    <w:rsid w:val="00062406"/>
    <w:rsid w:val="00072153"/>
    <w:rsid w:val="00077918"/>
    <w:rsid w:val="000825F9"/>
    <w:rsid w:val="00087A25"/>
    <w:rsid w:val="000924EE"/>
    <w:rsid w:val="00092B38"/>
    <w:rsid w:val="0009694C"/>
    <w:rsid w:val="00096E66"/>
    <w:rsid w:val="000A3804"/>
    <w:rsid w:val="000A4474"/>
    <w:rsid w:val="000A5635"/>
    <w:rsid w:val="000A67E3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74D4D"/>
    <w:rsid w:val="001817BA"/>
    <w:rsid w:val="00183385"/>
    <w:rsid w:val="00193ADF"/>
    <w:rsid w:val="001A35CA"/>
    <w:rsid w:val="001B5C2B"/>
    <w:rsid w:val="001B689C"/>
    <w:rsid w:val="001C4686"/>
    <w:rsid w:val="001D2AB8"/>
    <w:rsid w:val="001D3ECB"/>
    <w:rsid w:val="001E2931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867C3"/>
    <w:rsid w:val="00286F89"/>
    <w:rsid w:val="002872C2"/>
    <w:rsid w:val="00292275"/>
    <w:rsid w:val="002A1989"/>
    <w:rsid w:val="002A3DA0"/>
    <w:rsid w:val="002A7944"/>
    <w:rsid w:val="002B0440"/>
    <w:rsid w:val="002B2B6F"/>
    <w:rsid w:val="002B5F18"/>
    <w:rsid w:val="002B75E3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4A32"/>
    <w:rsid w:val="00367282"/>
    <w:rsid w:val="00384075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3F526A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67592"/>
    <w:rsid w:val="0047618F"/>
    <w:rsid w:val="004761F4"/>
    <w:rsid w:val="004949FA"/>
    <w:rsid w:val="00496613"/>
    <w:rsid w:val="004A1C82"/>
    <w:rsid w:val="004A26AC"/>
    <w:rsid w:val="004B16F2"/>
    <w:rsid w:val="004B1C09"/>
    <w:rsid w:val="004B223D"/>
    <w:rsid w:val="004B3AFF"/>
    <w:rsid w:val="004B3CA3"/>
    <w:rsid w:val="004B3DB0"/>
    <w:rsid w:val="004B47A1"/>
    <w:rsid w:val="004B6FEB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5F7242"/>
    <w:rsid w:val="00610D92"/>
    <w:rsid w:val="0061333C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336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B11ED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06D97"/>
    <w:rsid w:val="009115B2"/>
    <w:rsid w:val="00934EBA"/>
    <w:rsid w:val="00943462"/>
    <w:rsid w:val="00950106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6EC4"/>
    <w:rsid w:val="00AB0CFB"/>
    <w:rsid w:val="00AB5C33"/>
    <w:rsid w:val="00AB6684"/>
    <w:rsid w:val="00AC5B96"/>
    <w:rsid w:val="00AD2547"/>
    <w:rsid w:val="00AD555D"/>
    <w:rsid w:val="00AE0B67"/>
    <w:rsid w:val="00AE63B8"/>
    <w:rsid w:val="00AF0221"/>
    <w:rsid w:val="00AF275F"/>
    <w:rsid w:val="00AF28F8"/>
    <w:rsid w:val="00AF6C80"/>
    <w:rsid w:val="00B070B1"/>
    <w:rsid w:val="00B114F2"/>
    <w:rsid w:val="00B240DC"/>
    <w:rsid w:val="00B31C90"/>
    <w:rsid w:val="00B320C9"/>
    <w:rsid w:val="00B3357D"/>
    <w:rsid w:val="00B3638E"/>
    <w:rsid w:val="00B41588"/>
    <w:rsid w:val="00B456AB"/>
    <w:rsid w:val="00B55C76"/>
    <w:rsid w:val="00B6205E"/>
    <w:rsid w:val="00B631F1"/>
    <w:rsid w:val="00B705BA"/>
    <w:rsid w:val="00B83458"/>
    <w:rsid w:val="00B9185B"/>
    <w:rsid w:val="00B92571"/>
    <w:rsid w:val="00BA559B"/>
    <w:rsid w:val="00BA6DE0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50C8"/>
    <w:rsid w:val="00C87064"/>
    <w:rsid w:val="00C879F2"/>
    <w:rsid w:val="00C9568D"/>
    <w:rsid w:val="00CA07A3"/>
    <w:rsid w:val="00CC56E0"/>
    <w:rsid w:val="00CD0558"/>
    <w:rsid w:val="00CD1D07"/>
    <w:rsid w:val="00CD5C92"/>
    <w:rsid w:val="00CF0189"/>
    <w:rsid w:val="00CF13A2"/>
    <w:rsid w:val="00CF6542"/>
    <w:rsid w:val="00D00BBF"/>
    <w:rsid w:val="00D10337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B549E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24DCF"/>
    <w:rsid w:val="00E25102"/>
    <w:rsid w:val="00E43E48"/>
    <w:rsid w:val="00E445AA"/>
    <w:rsid w:val="00E46617"/>
    <w:rsid w:val="00E525BE"/>
    <w:rsid w:val="00E5642A"/>
    <w:rsid w:val="00E63FFB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0CA7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15D6B"/>
    <w:rsid w:val="00F24230"/>
    <w:rsid w:val="00F300AA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E51ED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D562BF-C09E-4E25-8FB6-6A6A237D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  <w:style w:type="paragraph" w:customStyle="1" w:styleId="11">
    <w:name w:val="Обычный1"/>
    <w:rsid w:val="00087A25"/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dnoklassniki.ru/LGRussi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GRussi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vk.com/lgruss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C783-9342-4E5C-9C0D-85E258B8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Jia Hao Wu</cp:lastModifiedBy>
  <cp:revision>8</cp:revision>
  <cp:lastPrinted>2016-10-31T15:09:00Z</cp:lastPrinted>
  <dcterms:created xsi:type="dcterms:W3CDTF">2016-10-31T15:00:00Z</dcterms:created>
  <dcterms:modified xsi:type="dcterms:W3CDTF">2016-11-03T01:34:00Z</dcterms:modified>
</cp:coreProperties>
</file>