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bookmarkStart w:id="3" w:name="_GoBack"/>
    </w:p>
    <w:bookmarkEnd w:id="3"/>
    <w:p>
      <w:pPr>
        <w:jc w:val="center"/>
        <w:rPr>
          <w:rFonts w:eastAsiaTheme="minorEastAsia"/>
          <w:b/>
          <w:sz w:val="28"/>
          <w:szCs w:val="28"/>
          <w:lang w:val="ru-RU"/>
        </w:rPr>
      </w:pPr>
      <w:bookmarkStart w:id="0" w:name="_heading=h.gjdgxs" w:colFirst="0" w:colLast="0"/>
      <w:bookmarkEnd w:id="0"/>
      <w:r>
        <w:rPr>
          <w:rFonts w:eastAsiaTheme="minorEastAsia"/>
          <w:b/>
          <w:sz w:val="28"/>
          <w:szCs w:val="28"/>
          <w:lang w:val="ru"/>
        </w:rPr>
        <w:t xml:space="preserve">LG ПРЕДСТАВИЛА NeON </w:t>
      </w:r>
      <w:r>
        <w:rPr>
          <w:rFonts w:eastAsiaTheme="minorEastAsia"/>
          <w:b/>
          <w:sz w:val="28"/>
          <w:szCs w:val="28"/>
        </w:rPr>
        <w:t>N</w:t>
      </w:r>
      <w:r>
        <w:rPr>
          <w:rFonts w:eastAsiaTheme="minorEastAsia"/>
          <w:b/>
          <w:sz w:val="28"/>
          <w:szCs w:val="28"/>
          <w:lang w:val="ru"/>
        </w:rPr>
        <w:t>:</w:t>
      </w:r>
      <w:r>
        <w:rPr>
          <w:rFonts w:eastAsiaTheme="minorEastAsia"/>
          <w:b/>
          <w:sz w:val="28"/>
          <w:szCs w:val="28"/>
          <w:lang w:val="ru-RU"/>
        </w:rPr>
        <w:t xml:space="preserve"> </w:t>
      </w:r>
      <w:r>
        <w:rPr>
          <w:rFonts w:eastAsiaTheme="minorEastAsia"/>
          <w:b/>
          <w:sz w:val="28"/>
          <w:szCs w:val="28"/>
          <w:lang w:val="ru"/>
        </w:rPr>
        <w:t xml:space="preserve">ЭФФЕКТИВНОЕ И </w:t>
      </w:r>
    </w:p>
    <w:p>
      <w:pPr>
        <w:jc w:val="center"/>
        <w:rPr>
          <w:rFonts w:eastAsiaTheme="minorEastAsia"/>
          <w:b/>
          <w:sz w:val="28"/>
          <w:szCs w:val="28"/>
          <w:lang w:val="ru-RU"/>
        </w:rPr>
      </w:pPr>
      <w:r>
        <w:rPr>
          <w:rFonts w:eastAsiaTheme="minorEastAsia"/>
          <w:b/>
          <w:sz w:val="28"/>
          <w:szCs w:val="28"/>
          <w:lang w:val="ru"/>
        </w:rPr>
        <w:t>НАДЕЖНОЕ РЕШЕНИЕ В ОБЛАСТИ ЭНЕРГЕТИКИ</w:t>
      </w:r>
    </w:p>
    <w:p>
      <w:pPr>
        <w:jc w:val="center"/>
        <w:rPr>
          <w:i/>
          <w:sz w:val="6"/>
          <w:szCs w:val="6"/>
          <w:lang w:val="ru-RU"/>
        </w:rPr>
      </w:pPr>
    </w:p>
    <w:p>
      <w:pPr>
        <w:jc w:val="center"/>
        <w:rPr>
          <w:i/>
          <w:lang w:val="ru-RU"/>
        </w:rPr>
      </w:pPr>
      <w:r>
        <w:rPr>
          <w:i/>
          <w:lang w:val="ru"/>
        </w:rPr>
        <w:t xml:space="preserve">Усовершенствованные солнечные панели с полуячейками N-типа </w:t>
      </w:r>
    </w:p>
    <w:p>
      <w:pPr>
        <w:jc w:val="center"/>
        <w:rPr>
          <w:i/>
          <w:lang w:val="ru-RU"/>
        </w:rPr>
      </w:pPr>
      <w:r>
        <w:rPr>
          <w:i/>
          <w:lang w:val="ru"/>
        </w:rPr>
        <w:t>обеспечивают наилучшие в отрасли показатели выходной мощности и долговечности</w:t>
      </w:r>
    </w:p>
    <w:p>
      <w:pPr>
        <w:jc w:val="center"/>
        <w:rPr>
          <w:sz w:val="36"/>
          <w:szCs w:val="36"/>
          <w:lang w:val="ru-RU"/>
        </w:rPr>
      </w:pPr>
    </w:p>
    <w:p>
      <w:pPr>
        <w:spacing w:line="360" w:lineRule="auto"/>
        <w:ind w:firstLine="720"/>
        <w:jc w:val="both"/>
        <w:rPr>
          <w:lang w:val="ru-RU"/>
        </w:rPr>
      </w:pPr>
      <w:r>
        <w:rPr>
          <w:rFonts w:eastAsia="Batang"/>
          <w:b/>
          <w:bCs/>
          <w:lang w:val="ru" w:eastAsia="ko-KR"/>
        </w:rPr>
        <w:t>СЕУЛ, 8 апреля 2021 г.</w:t>
      </w:r>
      <w:r>
        <w:rPr>
          <w:rFonts w:eastAsia="Batang"/>
          <w:lang w:val="ru" w:eastAsia="ko-KR"/>
        </w:rPr>
        <w:t xml:space="preserve"> — Новейшая, усовершенствованная солнечная панель производства компании LG Electronics (LG), изготовленная с использованием инновационных полуячеек N-типа, обеспечивает высокие показатели выходной мощности, предоставляя гарантию на 25 лет.  Солнечная панель LG NeON N идеально подходит для использования, как в жилых, так и в коммерческих помещениях, обеспечивает выработку электроэнергии, сгенерированной с использованием технологии улавливания диоксида углерода, а также отличается долговечностью и надежностью, что в свою очередь позволяет получить более высокие показатели эффективности по сравнению с предыдущей моделью.</w:t>
      </w:r>
    </w:p>
    <w:p>
      <w:pPr>
        <w:spacing w:line="360" w:lineRule="auto"/>
        <w:jc w:val="both"/>
        <w:rPr>
          <w:lang w:val="ru-RU"/>
        </w:rPr>
      </w:pPr>
      <w:r>
        <w:rPr>
          <w:lang w:val="ru"/>
        </w:rPr>
        <w:t xml:space="preserve">В отличие от большинства представленных сегодня на рынке солнечных панелей, в которых используются ячейки положительного типа, компания LG использует сложные отрицательные ячейки N-типа с температурным коэффициентом -33 процента на градус Цельсия. </w:t>
      </w:r>
      <w:r>
        <w:rPr>
          <w:vertAlign w:val="superscript"/>
          <w:lang w:val="ru"/>
        </w:rPr>
        <w:t>1</w:t>
      </w:r>
      <w:r>
        <w:rPr>
          <w:lang w:val="ru"/>
        </w:rPr>
        <w:t xml:space="preserve"> Структура ячеек N-типа с двухсторонней фоточувствительностью также позволяет ячейкам поглощать солнечный свет, как фронтальной, так и тыльной стороной. Благодаря этому панель обеспечивает превосходные показатели выходной мощности, генерируя максимум 390 Вт посредством своих 120 ячеек при одновременном уменьшении уровня потерь электроэнергии. </w:t>
      </w:r>
      <w:r>
        <w:rPr>
          <w:rFonts w:eastAsia="Batang"/>
          <w:color w:val="000000"/>
          <w:vertAlign w:val="superscript"/>
          <w:lang w:val="ru" w:eastAsia="ko-KR" w:bidi="zh-CN"/>
        </w:rPr>
        <w:t>2</w:t>
      </w:r>
      <w:r>
        <w:rPr>
          <w:lang w:val="ru"/>
        </w:rPr>
        <w:t xml:space="preserve"> Отличающееся отличными характеристиками надежности и долговечности, данный продукт прекрасно подготовлен к работе в неблагоприятных погодных условиях. Панель также устойчива к световой деградации (СД); эффективность ее работы не снижается вследствие воздействия солнечного света в первые часы после установки. </w:t>
      </w:r>
      <w:r>
        <w:rPr>
          <w:vertAlign w:val="superscript"/>
          <w:lang w:val="ru"/>
        </w:rPr>
        <w:t>3</w:t>
      </w:r>
    </w:p>
    <w:p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" w:eastAsia="ko-KR"/>
        </w:rPr>
        <w:t xml:space="preserve">Компания LG является первым в мире производителем, эксплуатирующим собственные испытательные установки для солнечных батарей, сертифицированные двумя ведущими международными организациями по проверке и сертификации - UL и </w:t>
      </w:r>
      <w:r>
        <w:rPr>
          <w:rFonts w:eastAsiaTheme="minorEastAsia"/>
          <w:color w:val="000000" w:themeColor="text1"/>
          <w:lang w:val="ru"/>
          <w14:textFill>
            <w14:solidFill>
              <w14:schemeClr w14:val="tx1"/>
            </w14:solidFill>
          </w14:textFill>
        </w:rPr>
        <w:t>TÜV Rheinland</w:t>
      </w:r>
      <w:r>
        <w:rPr>
          <w:rFonts w:eastAsiaTheme="minorEastAsia"/>
          <w:lang w:val="ru" w:eastAsia="ko-KR"/>
        </w:rPr>
        <w:t xml:space="preserve">. Соответствующие стандартам и испытательным критериям отрасли, панели NeON N от LG гарантируют работу на уровне 90,6% от своей первоначальной производительности даже спустя 25 лет непрерывного использования. </w:t>
      </w:r>
      <w:r>
        <w:rPr>
          <w:rFonts w:eastAsiaTheme="minorEastAsia"/>
          <w:vertAlign w:val="superscript"/>
          <w:lang w:val="ru" w:eastAsia="ko-KR"/>
        </w:rPr>
        <w:t>4</w:t>
      </w:r>
    </w:p>
    <w:p>
      <w:pPr>
        <w:spacing w:line="360" w:lineRule="auto"/>
        <w:jc w:val="both"/>
        <w:rPr>
          <w:lang w:val="ru-RU"/>
        </w:rPr>
      </w:pPr>
      <w:r>
        <w:rPr>
          <w:rFonts w:eastAsiaTheme="minorEastAsia"/>
          <w:lang w:val="ru" w:eastAsia="ko-KR"/>
        </w:rPr>
        <w:t>“Наша новая солнечная панель NeON N — это самое надежное и эффективное решение в области возобновляемых источников энергии, которое когда-либо было разработано LG”, - сказал Кевин Ким, вице-президент и руководитель энергетического подразделения LG Electronics Business Solutions Company. “Являясь одним из немногих производителей, уверенно предлагающих гарантию в четверть века на свои солнечные батареи, компания LG еще раз подчеркивает свое стремление разрабатывать еще более эффективные и надежные решения, которые выдержат испытание временем”.</w:t>
      </w:r>
    </w:p>
    <w:p>
      <w:pPr>
        <w:jc w:val="both"/>
        <w:rPr>
          <w:lang w:val="ru-RU" w:eastAsia="ko-KR"/>
        </w:rPr>
      </w:pPr>
    </w:p>
    <w:p>
      <w:pPr>
        <w:jc w:val="center"/>
        <w:rPr>
          <w:lang w:val="ru-RU"/>
        </w:rPr>
      </w:pPr>
      <w:r>
        <w:rPr>
          <w:lang w:val="ru"/>
        </w:rPr>
        <w:t># # #</w:t>
      </w:r>
    </w:p>
    <w:p>
      <w:pPr>
        <w:rPr>
          <w:sz w:val="18"/>
          <w:szCs w:val="18"/>
          <w:lang w:val="ru-RU"/>
        </w:rPr>
      </w:pPr>
    </w:p>
    <w:p>
      <w:pPr>
        <w:rPr>
          <w:sz w:val="18"/>
          <w:szCs w:val="18"/>
          <w:lang w:val="ru-RU"/>
        </w:rPr>
      </w:pPr>
    </w:p>
    <w:p>
      <w:pPr>
        <w:pStyle w:val="20"/>
        <w:spacing w:after="60"/>
        <w:ind w:left="139" w:hanging="138" w:hangingChars="77"/>
        <w:jc w:val="both"/>
        <w:rPr>
          <w:rStyle w:val="13"/>
          <w:iCs w:val="0"/>
          <w:sz w:val="18"/>
          <w:szCs w:val="18"/>
          <w:lang w:val="ru-RU"/>
        </w:rPr>
      </w:pPr>
      <w:r>
        <w:rPr>
          <w:rStyle w:val="13"/>
          <w:sz w:val="18"/>
          <w:szCs w:val="18"/>
          <w:vertAlign w:val="superscript"/>
          <w:lang w:val="ru"/>
        </w:rPr>
        <w:t>1</w:t>
      </w:r>
      <w:r>
        <w:rPr>
          <w:rStyle w:val="13"/>
          <w:sz w:val="18"/>
          <w:szCs w:val="18"/>
          <w:vertAlign w:val="superscript"/>
          <w:lang w:val="ru"/>
        </w:rPr>
        <w:tab/>
      </w:r>
      <w:r>
        <w:rPr>
          <w:rFonts w:eastAsiaTheme="minorEastAsia"/>
          <w:i/>
          <w:sz w:val="18"/>
          <w:szCs w:val="18"/>
          <w:lang w:val="ru"/>
        </w:rPr>
        <w:t>Температурный коэффициент подтвержден на основании данных, полученных в результате внутренних экспресс-испытаний.</w:t>
      </w:r>
    </w:p>
    <w:p>
      <w:pPr>
        <w:pStyle w:val="20"/>
        <w:spacing w:after="60"/>
        <w:ind w:left="139" w:hanging="138" w:hangingChars="77"/>
        <w:jc w:val="both"/>
        <w:rPr>
          <w:rStyle w:val="13"/>
          <w:iCs w:val="0"/>
          <w:sz w:val="18"/>
          <w:szCs w:val="18"/>
          <w:lang w:val="ru-RU"/>
        </w:rPr>
      </w:pPr>
      <w:r>
        <w:rPr>
          <w:rStyle w:val="13"/>
          <w:sz w:val="18"/>
          <w:szCs w:val="18"/>
          <w:vertAlign w:val="superscript"/>
          <w:lang w:val="ru"/>
        </w:rPr>
        <w:t>2</w:t>
      </w:r>
      <w:r>
        <w:rPr>
          <w:rStyle w:val="13"/>
          <w:sz w:val="18"/>
          <w:szCs w:val="18"/>
          <w:vertAlign w:val="superscript"/>
          <w:lang w:val="ru"/>
        </w:rPr>
        <w:tab/>
      </w:r>
      <w:r>
        <w:rPr>
          <w:rFonts w:eastAsiaTheme="minorEastAsia"/>
          <w:i/>
          <w:sz w:val="18"/>
          <w:szCs w:val="18"/>
          <w:lang w:val="ru"/>
        </w:rPr>
        <w:t>Сертификат CSA Group, январь 2021 года.</w:t>
      </w:r>
    </w:p>
    <w:p>
      <w:pPr>
        <w:pStyle w:val="20"/>
        <w:spacing w:after="60"/>
        <w:ind w:left="139" w:hanging="138" w:hangingChars="77"/>
        <w:jc w:val="both"/>
        <w:rPr>
          <w:rFonts w:eastAsiaTheme="minorEastAsia"/>
          <w:i/>
          <w:sz w:val="18"/>
          <w:szCs w:val="18"/>
          <w:lang w:val="ru-RU"/>
        </w:rPr>
      </w:pPr>
      <w:r>
        <w:rPr>
          <w:rStyle w:val="13"/>
          <w:rFonts w:eastAsiaTheme="minorEastAsia"/>
          <w:sz w:val="18"/>
          <w:szCs w:val="18"/>
          <w:vertAlign w:val="superscript"/>
          <w:lang w:val="ru" w:eastAsia="ko-KR"/>
        </w:rPr>
        <w:t>3</w:t>
      </w:r>
      <w:r>
        <w:rPr>
          <w:rStyle w:val="13"/>
          <w:rFonts w:eastAsiaTheme="minorEastAsia"/>
          <w:sz w:val="18"/>
          <w:szCs w:val="18"/>
          <w:vertAlign w:val="superscript"/>
          <w:lang w:val="ru" w:eastAsia="ko-KR"/>
        </w:rPr>
        <w:tab/>
      </w:r>
      <w:r>
        <w:rPr>
          <w:rFonts w:eastAsiaTheme="minorEastAsia"/>
          <w:i/>
          <w:sz w:val="18"/>
          <w:szCs w:val="18"/>
          <w:lang w:val="ru"/>
        </w:rPr>
        <w:t>первоначальные характеристики производительности подтверждены на основании данных, полученных в результате внутренних экспресс-испытаний.</w:t>
      </w:r>
    </w:p>
    <w:p>
      <w:pPr>
        <w:widowControl w:val="0"/>
        <w:spacing w:after="60"/>
        <w:ind w:left="139" w:hanging="138" w:hangingChars="77"/>
        <w:jc w:val="both"/>
        <w:rPr>
          <w:rFonts w:eastAsiaTheme="minorEastAsia"/>
          <w:i/>
          <w:sz w:val="18"/>
          <w:szCs w:val="18"/>
          <w:lang w:val="ru-RU"/>
        </w:rPr>
      </w:pPr>
      <w:r>
        <w:rPr>
          <w:rFonts w:eastAsia="Malgun Gothic"/>
          <w:bCs/>
          <w:sz w:val="18"/>
          <w:szCs w:val="18"/>
          <w:vertAlign w:val="superscript"/>
          <w:lang w:val="ru" w:eastAsia="ko-KR" w:bidi="zh-CN"/>
        </w:rPr>
        <w:t>4</w:t>
      </w:r>
      <w:r>
        <w:rPr>
          <w:rFonts w:eastAsia="Malgun Gothic"/>
          <w:bCs/>
          <w:sz w:val="18"/>
          <w:szCs w:val="18"/>
          <w:vertAlign w:val="superscript"/>
          <w:lang w:val="ru" w:eastAsia="ko-KR" w:bidi="zh-CN"/>
        </w:rPr>
        <w:tab/>
      </w:r>
      <w:r>
        <w:rPr>
          <w:rFonts w:eastAsiaTheme="minorEastAsia"/>
          <w:i/>
          <w:sz w:val="18"/>
          <w:szCs w:val="18"/>
          <w:lang w:val="ru"/>
        </w:rPr>
        <w:t>Показатели периода эксплуатации в 25 лет подтверждены на основании данных, полученных в результате внутренних экспресс-испытаний. Фактические показатели производительности могут варьироваться в зависимости от условий окружающей среды или условий использования.</w:t>
      </w:r>
    </w:p>
    <w:p>
      <w:pPr>
        <w:rPr>
          <w:sz w:val="18"/>
          <w:szCs w:val="18"/>
          <w:lang w:val="ru-RU"/>
        </w:rPr>
      </w:pPr>
    </w:p>
    <w:p>
      <w:pPr>
        <w:rPr>
          <w:sz w:val="18"/>
          <w:szCs w:val="18"/>
          <w:lang w:val="ru-RU"/>
        </w:rPr>
      </w:pPr>
    </w:p>
    <w:p>
      <w:pPr>
        <w:jc w:val="both"/>
        <w:rPr>
          <w:b/>
          <w:color w:val="C5003D"/>
          <w:sz w:val="18"/>
          <w:szCs w:val="18"/>
        </w:rPr>
      </w:pPr>
      <w:bookmarkStart w:id="1" w:name="_Hlk65841234"/>
      <w:r>
        <w:rPr>
          <w:b/>
          <w:color w:val="C5003D"/>
          <w:sz w:val="18"/>
          <w:szCs w:val="18"/>
          <w:lang w:val="ru"/>
        </w:rPr>
        <w:t>О</w:t>
      </w:r>
      <w:r>
        <w:rPr>
          <w:b/>
          <w:color w:val="C5003D"/>
          <w:sz w:val="18"/>
          <w:szCs w:val="18"/>
        </w:rPr>
        <w:t xml:space="preserve"> </w:t>
      </w:r>
      <w:r>
        <w:rPr>
          <w:b/>
          <w:color w:val="C5003D"/>
          <w:sz w:val="18"/>
          <w:szCs w:val="18"/>
          <w:lang w:val="ru"/>
        </w:rPr>
        <w:t>компании</w:t>
      </w:r>
      <w:r>
        <w:rPr>
          <w:b/>
          <w:color w:val="C5003D"/>
          <w:sz w:val="18"/>
          <w:szCs w:val="18"/>
        </w:rPr>
        <w:t xml:space="preserve"> LG Electronics Business Solutions Company</w:t>
      </w:r>
    </w:p>
    <w:p>
      <w:pPr>
        <w:pStyle w:val="48"/>
        <w:suppressAutoHyphens/>
        <w:jc w:val="both"/>
        <w:textAlignment w:val="baseline"/>
        <w:rPr>
          <w:rFonts w:ascii="Times New Roman" w:hAnsi="Times New Roman" w:eastAsia="Malgun Gothic" w:cs="Times New Roman"/>
          <w:color w:val="000000"/>
          <w:sz w:val="18"/>
          <w:szCs w:val="18"/>
          <w:lang w:val="ru-RU"/>
        </w:rPr>
      </w:pPr>
      <w:r>
        <w:rPr>
          <w:rFonts w:ascii="Times New Roman" w:hAnsi="Times New Roman" w:eastAsia="Malgun Gothic" w:cs="Times New Roman"/>
          <w:color w:val="000000"/>
          <w:sz w:val="18"/>
          <w:szCs w:val="18"/>
          <w:lang w:val="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информационных панелей до высокоэффективных решений в области решений для использования солнечной энергии, компания LG пользуется заслуженным уважением и доверием потребителей по всему миру. Среди ИТ-решений компании LG - мониторы для бизнеса, ноутбуки, проекторы, облачные устройства и медицинские дисплеи, а также коммерческие роботы, предназначены для обеспечения максимальной эффективности и удобства работы потребителей. Для получения дополнительной информации о бизнес-решениях компании LG посетите сайт www.LG.com/b2b.</w:t>
      </w:r>
    </w:p>
    <w:p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>
      <w:pPr>
        <w:jc w:val="both"/>
        <w:rPr>
          <w:color w:val="000000"/>
          <w:sz w:val="18"/>
          <w:szCs w:val="18"/>
          <w:lang w:val="ru-RU"/>
        </w:rPr>
      </w:pPr>
    </w:p>
    <w:p>
      <w:pPr>
        <w:keepNext/>
        <w:keepLines/>
        <w:kinsoku w:val="0"/>
        <w:overflowPunct w:val="0"/>
        <w:rPr>
          <w:kern w:val="2"/>
          <w:sz w:val="18"/>
          <w:szCs w:val="18"/>
          <w:shd w:val="clear" w:color="auto" w:fill="FFFFFF"/>
          <w:lang w:val="ru-RU" w:eastAsia="ko-KR"/>
        </w:rPr>
      </w:pPr>
      <w:bookmarkStart w:id="2" w:name="_Hlk65841606"/>
      <w:r>
        <w:rPr>
          <w:i/>
          <w:iCs/>
          <w:kern w:val="2"/>
          <w:sz w:val="18"/>
          <w:szCs w:val="18"/>
          <w:shd w:val="clear" w:color="auto" w:fill="FFFFFF"/>
          <w:lang w:val="ru" w:eastAsia="ko-KR"/>
        </w:rPr>
        <w:t>Взаимодействие со СМИ:</w:t>
      </w:r>
    </w:p>
    <w:p>
      <w:pPr>
        <w:keepNext/>
        <w:keepLines/>
        <w:kinsoku w:val="0"/>
        <w:overflowPunct w:val="0"/>
        <w:rPr>
          <w:kern w:val="2"/>
          <w:sz w:val="18"/>
          <w:szCs w:val="18"/>
          <w:shd w:val="clear" w:color="auto" w:fill="FFFFFF"/>
          <w:lang w:val="ru-RU" w:eastAsia="ko-KR"/>
        </w:rPr>
      </w:pPr>
    </w:p>
    <w:p>
      <w:pPr>
        <w:keepNext/>
        <w:keepLines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>
        <w:rPr>
          <w:kern w:val="2"/>
          <w:sz w:val="18"/>
          <w:szCs w:val="18"/>
          <w:shd w:val="clear" w:color="auto" w:fill="FFFFFF"/>
          <w:lang w:val="ru" w:eastAsia="ko-KR"/>
        </w:rPr>
        <w:t>LG Electronics, Inc.</w:t>
      </w:r>
      <w:r>
        <w:rPr>
          <w:kern w:val="2"/>
          <w:sz w:val="18"/>
          <w:szCs w:val="18"/>
          <w:shd w:val="clear" w:color="auto" w:fill="FFFFFF"/>
          <w:lang w:val="ru" w:eastAsia="ko-KR"/>
        </w:rPr>
        <w:tab/>
      </w:r>
      <w:r>
        <w:rPr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>
      <w:pPr>
        <w:keepNext/>
        <w:keepLines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>
        <w:rPr>
          <w:kern w:val="2"/>
          <w:sz w:val="18"/>
          <w:szCs w:val="18"/>
          <w:shd w:val="clear" w:color="auto" w:fill="FFFFFF"/>
          <w:lang w:val="ru" w:eastAsia="ko-KR"/>
        </w:rPr>
        <w:t>Кен</w:t>
      </w:r>
      <w:r>
        <w:rPr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kern w:val="2"/>
          <w:sz w:val="18"/>
          <w:szCs w:val="18"/>
          <w:shd w:val="clear" w:color="auto" w:fill="FFFFFF"/>
          <w:lang w:val="ru" w:eastAsia="ko-KR"/>
        </w:rPr>
        <w:t>Хонг</w:t>
      </w:r>
      <w:r>
        <w:rPr>
          <w:kern w:val="2"/>
          <w:sz w:val="18"/>
          <w:szCs w:val="18"/>
          <w:shd w:val="clear" w:color="auto" w:fill="FFFFFF"/>
          <w:lang w:eastAsia="ko-KR"/>
        </w:rPr>
        <w:tab/>
      </w:r>
      <w:r>
        <w:rPr>
          <w:kern w:val="2"/>
          <w:sz w:val="18"/>
          <w:szCs w:val="18"/>
          <w:shd w:val="clear" w:color="auto" w:fill="FFFFFF"/>
          <w:lang w:val="ru" w:eastAsia="ko-KR"/>
        </w:rPr>
        <w:t>Дженни</w:t>
      </w:r>
      <w:r>
        <w:rPr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kern w:val="2"/>
          <w:sz w:val="18"/>
          <w:szCs w:val="18"/>
          <w:shd w:val="clear" w:color="auto" w:fill="FFFFFF"/>
          <w:lang w:val="ru" w:eastAsia="ko-KR"/>
        </w:rPr>
        <w:t>Шин</w:t>
      </w:r>
    </w:p>
    <w:p>
      <w:pPr>
        <w:keepNext/>
        <w:keepLines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>
        <w:rPr>
          <w:kern w:val="2"/>
          <w:sz w:val="18"/>
          <w:szCs w:val="18"/>
          <w:shd w:val="clear" w:color="auto" w:fill="FFFFFF"/>
          <w:lang w:eastAsia="ko-KR"/>
        </w:rPr>
        <w:t>+82 2 3777 3626</w:t>
      </w:r>
      <w:r>
        <w:rPr>
          <w:kern w:val="2"/>
          <w:sz w:val="18"/>
          <w:szCs w:val="18"/>
          <w:shd w:val="clear" w:color="auto" w:fill="FFFFFF"/>
          <w:lang w:eastAsia="ko-KR"/>
        </w:rPr>
        <w:tab/>
      </w:r>
      <w:r>
        <w:rPr>
          <w:kern w:val="2"/>
          <w:sz w:val="18"/>
          <w:szCs w:val="18"/>
          <w:shd w:val="clear" w:color="auto" w:fill="FFFFFF"/>
          <w:lang w:eastAsia="ko-KR"/>
        </w:rPr>
        <w:t>+82 2 3777 3692</w:t>
      </w:r>
    </w:p>
    <w:p>
      <w:pPr>
        <w:keepNext/>
        <w:keepLines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>
        <w:fldChar w:fldCharType="begin"/>
      </w:r>
      <w:r>
        <w:instrText xml:space="preserve"> HYPERLINK "mailto:ken.hong@lge.com" </w:instrText>
      </w:r>
      <w:r>
        <w:fldChar w:fldCharType="separate"/>
      </w:r>
      <w:r>
        <w:rPr>
          <w:kern w:val="2"/>
          <w:sz w:val="18"/>
          <w:szCs w:val="18"/>
          <w:shd w:val="clear" w:color="auto" w:fill="FFFFFF"/>
          <w:lang w:eastAsia="ko-KR"/>
        </w:rPr>
        <w:t>ken.hong@lge.com</w:t>
      </w:r>
      <w:r>
        <w:rPr>
          <w:kern w:val="2"/>
          <w:sz w:val="18"/>
          <w:szCs w:val="18"/>
          <w:shd w:val="clear" w:color="auto" w:fill="FFFFFF"/>
          <w:lang w:eastAsia="ko-KR"/>
        </w:rPr>
        <w:fldChar w:fldCharType="end"/>
      </w:r>
      <w:r>
        <w:rPr>
          <w:kern w:val="2"/>
          <w:sz w:val="18"/>
          <w:szCs w:val="18"/>
          <w:shd w:val="clear" w:color="auto" w:fill="FFFFFF"/>
          <w:lang w:eastAsia="ko-KR"/>
        </w:rPr>
        <w:tab/>
      </w:r>
      <w:r>
        <w:fldChar w:fldCharType="begin"/>
      </w:r>
      <w:r>
        <w:instrText xml:space="preserve"> HYPERLINK "mailto:jungin.shin@lge.com" </w:instrText>
      </w:r>
      <w:r>
        <w:fldChar w:fldCharType="separate"/>
      </w:r>
      <w:r>
        <w:rPr>
          <w:kern w:val="2"/>
          <w:sz w:val="18"/>
          <w:szCs w:val="18"/>
          <w:shd w:val="clear" w:color="auto" w:fill="FFFFFF"/>
          <w:lang w:eastAsia="ko-KR"/>
        </w:rPr>
        <w:t>jungin.shin@lge.com</w:t>
      </w:r>
      <w:r>
        <w:rPr>
          <w:kern w:val="2"/>
          <w:sz w:val="18"/>
          <w:szCs w:val="18"/>
          <w:shd w:val="clear" w:color="auto" w:fill="FFFFFF"/>
          <w:lang w:eastAsia="ko-KR"/>
        </w:rPr>
        <w:fldChar w:fldCharType="end"/>
      </w:r>
    </w:p>
    <w:p>
      <w:pPr>
        <w:keepNext/>
        <w:keepLines/>
        <w:tabs>
          <w:tab w:val="left" w:pos="3969"/>
        </w:tabs>
        <w:kinsoku w:val="0"/>
        <w:overflowPunct w:val="0"/>
        <w:rPr>
          <w:sz w:val="18"/>
          <w:szCs w:val="18"/>
        </w:rPr>
      </w:pPr>
      <w:r>
        <w:fldChar w:fldCharType="begin"/>
      </w:r>
      <w:r>
        <w:instrText xml:space="preserve"> HYPERLINK "http://www.lgnewsroom.com/" </w:instrText>
      </w:r>
      <w:r>
        <w:fldChar w:fldCharType="separate"/>
      </w:r>
      <w:r>
        <w:rPr>
          <w:kern w:val="2"/>
          <w:sz w:val="18"/>
          <w:szCs w:val="18"/>
          <w:shd w:val="clear" w:color="auto" w:fill="FFFFFF"/>
          <w:lang w:eastAsia="ko-KR"/>
        </w:rPr>
        <w:t>www.LGnewsroom.com</w:t>
      </w:r>
      <w:r>
        <w:rPr>
          <w:kern w:val="2"/>
          <w:sz w:val="18"/>
          <w:szCs w:val="18"/>
          <w:shd w:val="clear" w:color="auto" w:fill="FFFFFF"/>
          <w:lang w:eastAsia="ko-KR"/>
        </w:rPr>
        <w:fldChar w:fldCharType="end"/>
      </w:r>
      <w:r>
        <w:rPr>
          <w:kern w:val="2"/>
          <w:sz w:val="18"/>
          <w:szCs w:val="18"/>
          <w:shd w:val="clear" w:color="auto" w:fill="FFFFFF"/>
          <w:lang w:eastAsia="ko-KR"/>
        </w:rPr>
        <w:tab/>
      </w:r>
      <w:r>
        <w:fldChar w:fldCharType="begin"/>
      </w:r>
      <w:r>
        <w:instrText xml:space="preserve"> HYPERLINK "http://www.lgnewsroom.com/" </w:instrText>
      </w:r>
      <w:r>
        <w:fldChar w:fldCharType="separate"/>
      </w:r>
      <w:r>
        <w:rPr>
          <w:kern w:val="2"/>
          <w:sz w:val="18"/>
          <w:szCs w:val="18"/>
          <w:shd w:val="clear" w:color="auto" w:fill="FFFFFF"/>
          <w:lang w:eastAsia="ko-KR"/>
        </w:rPr>
        <w:t>www.LGnewsroom.com</w:t>
      </w:r>
      <w:r>
        <w:rPr>
          <w:kern w:val="2"/>
          <w:sz w:val="18"/>
          <w:szCs w:val="18"/>
          <w:shd w:val="clear" w:color="auto" w:fill="FFFFFF"/>
          <w:lang w:eastAsia="ko-KR"/>
        </w:rPr>
        <w:fldChar w:fldCharType="end"/>
      </w:r>
      <w:bookmarkEnd w:id="1"/>
      <w:bookmarkEnd w:id="2"/>
    </w:p>
    <w:sectPr>
      <w:headerReference r:id="rId3" w:type="default"/>
      <w:footerReference r:id="rId4" w:type="default"/>
      <w:footerReference r:id="rId5" w:type="even"/>
      <w:pgSz w:w="11907" w:h="16840"/>
      <w:pgMar w:top="2268" w:right="1701" w:bottom="1701" w:left="1701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 Narrow">
    <w:altName w:val="Arial"/>
    <w:panose1 w:val="020B0606020202030204"/>
    <w:charset w:val="CC"/>
    <w:family w:val="swiss"/>
    <w:pitch w:val="default"/>
    <w:sig w:usb0="00000000" w:usb1="00000000" w:usb2="00000000" w:usb3="00000000" w:csb0="0000009F" w:csb1="00000000"/>
  </w:font>
  <w:font w:name="가는각진제목체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 xml:space="preserve"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 xml:space="preserve">PAGE</w:instrText>
    </w:r>
    <w:r>
      <w:rPr>
        <w:rFonts w:eastAsia="Times New Roman"/>
        <w:color w:val="000000"/>
        <w:sz w:val="20"/>
        <w:szCs w:val="20"/>
      </w:rPr>
      <w:fldChar w:fldCharType="end"/>
    </w:r>
  </w:p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jc w:val="right"/>
      <w:rPr>
        <w:rFonts w:ascii="Trebuchet MS" w:hAnsi="Trebuchet MS" w:eastAsia="Trebuchet MS" w:cs="Trebuchet MS"/>
        <w:b/>
        <w:color w:val="808080"/>
        <w:sz w:val="18"/>
        <w:szCs w:val="18"/>
      </w:rPr>
    </w:pPr>
    <w:r>
      <w:rPr>
        <w:lang w:eastAsia="en-US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-502920</wp:posOffset>
          </wp:positionH>
          <wp:positionV relativeFrom="paragraph">
            <wp:posOffset>-33655</wp:posOffset>
          </wp:positionV>
          <wp:extent cx="1062355" cy="521970"/>
          <wp:effectExtent l="0" t="0" r="0" b="0"/>
          <wp:wrapSquare wrapText="bothSides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jc w:val="right"/>
      <w:rPr>
        <w:rFonts w:ascii="Trebuchet MS" w:hAnsi="Trebuchet MS" w:eastAsia="Trebuchet MS" w:cs="Trebuchet MS"/>
        <w:b/>
        <w:color w:val="808080"/>
        <w:sz w:val="18"/>
        <w:szCs w:val="18"/>
      </w:rPr>
    </w:pPr>
    <w:r>
      <w:rPr>
        <w:rFonts w:ascii="Trebuchet MS" w:hAnsi="Trebuchet MS" w:eastAsia="Trebuchet MS" w:cs="Trebuchet MS"/>
        <w:b/>
        <w:color w:val="808080"/>
        <w:sz w:val="18"/>
        <w:szCs w:val="18"/>
        <w:lang w:val="ru"/>
      </w:rPr>
      <w:t>www.LG.com</w:t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rPr>
        <w:rFonts w:ascii="Times" w:hAnsi="Times" w:eastAsia="Times" w:cs="Times"/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320"/>
        <w:tab w:val="right" w:pos="8640"/>
      </w:tabs>
      <w:ind w:right="960"/>
      <w:rPr>
        <w:rFonts w:ascii="Times" w:hAnsi="Times" w:eastAsia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7911"/>
    <w:rsid w:val="00007E29"/>
    <w:rsid w:val="000132C2"/>
    <w:rsid w:val="0002517E"/>
    <w:rsid w:val="000256A5"/>
    <w:rsid w:val="00027DA7"/>
    <w:rsid w:val="00030E70"/>
    <w:rsid w:val="00053293"/>
    <w:rsid w:val="0008015E"/>
    <w:rsid w:val="00085A84"/>
    <w:rsid w:val="000A0149"/>
    <w:rsid w:val="000A71C0"/>
    <w:rsid w:val="000B72DE"/>
    <w:rsid w:val="000C1F2F"/>
    <w:rsid w:val="000D5E17"/>
    <w:rsid w:val="00113E8E"/>
    <w:rsid w:val="00114C97"/>
    <w:rsid w:val="00122D43"/>
    <w:rsid w:val="00140845"/>
    <w:rsid w:val="0014149C"/>
    <w:rsid w:val="00145476"/>
    <w:rsid w:val="00171EE5"/>
    <w:rsid w:val="001A35C3"/>
    <w:rsid w:val="001A4CB3"/>
    <w:rsid w:val="001C0D5B"/>
    <w:rsid w:val="001C624A"/>
    <w:rsid w:val="001C7D48"/>
    <w:rsid w:val="001D44AA"/>
    <w:rsid w:val="001D6967"/>
    <w:rsid w:val="001D77AF"/>
    <w:rsid w:val="001F0EC6"/>
    <w:rsid w:val="001F5203"/>
    <w:rsid w:val="001F525E"/>
    <w:rsid w:val="001F5F15"/>
    <w:rsid w:val="00211317"/>
    <w:rsid w:val="00211361"/>
    <w:rsid w:val="0023440F"/>
    <w:rsid w:val="00234FFC"/>
    <w:rsid w:val="00240774"/>
    <w:rsid w:val="002437EE"/>
    <w:rsid w:val="00244067"/>
    <w:rsid w:val="002473A8"/>
    <w:rsid w:val="002563B7"/>
    <w:rsid w:val="00256638"/>
    <w:rsid w:val="00270197"/>
    <w:rsid w:val="002807ED"/>
    <w:rsid w:val="00292F13"/>
    <w:rsid w:val="002957AA"/>
    <w:rsid w:val="00295E9E"/>
    <w:rsid w:val="002A3317"/>
    <w:rsid w:val="002B2E47"/>
    <w:rsid w:val="002B3C70"/>
    <w:rsid w:val="002E1FFB"/>
    <w:rsid w:val="002F3074"/>
    <w:rsid w:val="002F6E08"/>
    <w:rsid w:val="0030028D"/>
    <w:rsid w:val="00300FBA"/>
    <w:rsid w:val="003070C5"/>
    <w:rsid w:val="00310BDF"/>
    <w:rsid w:val="003242C2"/>
    <w:rsid w:val="00336CF6"/>
    <w:rsid w:val="00361223"/>
    <w:rsid w:val="00384923"/>
    <w:rsid w:val="003C3AF5"/>
    <w:rsid w:val="003D35CE"/>
    <w:rsid w:val="003F0DE7"/>
    <w:rsid w:val="004041B5"/>
    <w:rsid w:val="00412A79"/>
    <w:rsid w:val="00420D92"/>
    <w:rsid w:val="00423220"/>
    <w:rsid w:val="00441083"/>
    <w:rsid w:val="00442BB6"/>
    <w:rsid w:val="0044770E"/>
    <w:rsid w:val="0047271E"/>
    <w:rsid w:val="004870C7"/>
    <w:rsid w:val="004B2BBA"/>
    <w:rsid w:val="004C28FC"/>
    <w:rsid w:val="004D006E"/>
    <w:rsid w:val="004D2164"/>
    <w:rsid w:val="004D5CA9"/>
    <w:rsid w:val="004E4A1E"/>
    <w:rsid w:val="004E757A"/>
    <w:rsid w:val="00531914"/>
    <w:rsid w:val="00541BE2"/>
    <w:rsid w:val="00541C01"/>
    <w:rsid w:val="005434A8"/>
    <w:rsid w:val="005455C1"/>
    <w:rsid w:val="00551C94"/>
    <w:rsid w:val="00552970"/>
    <w:rsid w:val="00555743"/>
    <w:rsid w:val="00555E48"/>
    <w:rsid w:val="00557F0A"/>
    <w:rsid w:val="00562711"/>
    <w:rsid w:val="00580FBC"/>
    <w:rsid w:val="00593214"/>
    <w:rsid w:val="00596A8E"/>
    <w:rsid w:val="005A6607"/>
    <w:rsid w:val="005B348E"/>
    <w:rsid w:val="005B64C5"/>
    <w:rsid w:val="005E2D83"/>
    <w:rsid w:val="005E6E7B"/>
    <w:rsid w:val="00601260"/>
    <w:rsid w:val="00603722"/>
    <w:rsid w:val="00614562"/>
    <w:rsid w:val="00624682"/>
    <w:rsid w:val="00632025"/>
    <w:rsid w:val="00637408"/>
    <w:rsid w:val="00637C09"/>
    <w:rsid w:val="00655505"/>
    <w:rsid w:val="0066026A"/>
    <w:rsid w:val="00661134"/>
    <w:rsid w:val="00663F82"/>
    <w:rsid w:val="00664BE5"/>
    <w:rsid w:val="00672020"/>
    <w:rsid w:val="00672474"/>
    <w:rsid w:val="0068345C"/>
    <w:rsid w:val="00686AA4"/>
    <w:rsid w:val="00694EC2"/>
    <w:rsid w:val="006A243B"/>
    <w:rsid w:val="006C4E89"/>
    <w:rsid w:val="006D44A9"/>
    <w:rsid w:val="006E4C4D"/>
    <w:rsid w:val="006E728E"/>
    <w:rsid w:val="007033FA"/>
    <w:rsid w:val="00715BA9"/>
    <w:rsid w:val="00717FE3"/>
    <w:rsid w:val="00720A9C"/>
    <w:rsid w:val="007229B7"/>
    <w:rsid w:val="0072612A"/>
    <w:rsid w:val="007450D8"/>
    <w:rsid w:val="00747C27"/>
    <w:rsid w:val="00751C55"/>
    <w:rsid w:val="007616F6"/>
    <w:rsid w:val="00761EA5"/>
    <w:rsid w:val="00776A8F"/>
    <w:rsid w:val="00784FC5"/>
    <w:rsid w:val="007B1A6D"/>
    <w:rsid w:val="007E258E"/>
    <w:rsid w:val="008064C7"/>
    <w:rsid w:val="00807B3B"/>
    <w:rsid w:val="00815B0B"/>
    <w:rsid w:val="00820076"/>
    <w:rsid w:val="00820442"/>
    <w:rsid w:val="00834049"/>
    <w:rsid w:val="008415E1"/>
    <w:rsid w:val="00850C81"/>
    <w:rsid w:val="0086009C"/>
    <w:rsid w:val="00866BEB"/>
    <w:rsid w:val="008737E9"/>
    <w:rsid w:val="008A03D6"/>
    <w:rsid w:val="008A0E1C"/>
    <w:rsid w:val="008A2FF1"/>
    <w:rsid w:val="008A7429"/>
    <w:rsid w:val="008B167D"/>
    <w:rsid w:val="008B37F8"/>
    <w:rsid w:val="008C45D0"/>
    <w:rsid w:val="008C7FD4"/>
    <w:rsid w:val="008D2C9C"/>
    <w:rsid w:val="008E7105"/>
    <w:rsid w:val="008F0B45"/>
    <w:rsid w:val="008F6EE6"/>
    <w:rsid w:val="009142BB"/>
    <w:rsid w:val="00924CF1"/>
    <w:rsid w:val="00933B4F"/>
    <w:rsid w:val="00936F49"/>
    <w:rsid w:val="009513A9"/>
    <w:rsid w:val="00954B4C"/>
    <w:rsid w:val="00960FD4"/>
    <w:rsid w:val="009616F5"/>
    <w:rsid w:val="00982A76"/>
    <w:rsid w:val="009957CD"/>
    <w:rsid w:val="00995EC6"/>
    <w:rsid w:val="009A05BC"/>
    <w:rsid w:val="009A0C24"/>
    <w:rsid w:val="009A6E18"/>
    <w:rsid w:val="009A7060"/>
    <w:rsid w:val="009C5BB8"/>
    <w:rsid w:val="009C67DF"/>
    <w:rsid w:val="009E54EE"/>
    <w:rsid w:val="00A0174B"/>
    <w:rsid w:val="00A05244"/>
    <w:rsid w:val="00A319EC"/>
    <w:rsid w:val="00A35069"/>
    <w:rsid w:val="00A40CB2"/>
    <w:rsid w:val="00A5141C"/>
    <w:rsid w:val="00A531CA"/>
    <w:rsid w:val="00A53933"/>
    <w:rsid w:val="00A54BAC"/>
    <w:rsid w:val="00A55B6E"/>
    <w:rsid w:val="00A63E70"/>
    <w:rsid w:val="00A64D22"/>
    <w:rsid w:val="00A702C3"/>
    <w:rsid w:val="00A71000"/>
    <w:rsid w:val="00A71637"/>
    <w:rsid w:val="00A92A9B"/>
    <w:rsid w:val="00A93447"/>
    <w:rsid w:val="00AA3E58"/>
    <w:rsid w:val="00AA4A3B"/>
    <w:rsid w:val="00AB008B"/>
    <w:rsid w:val="00AB5B23"/>
    <w:rsid w:val="00AB6613"/>
    <w:rsid w:val="00AC0AA4"/>
    <w:rsid w:val="00AD4FAB"/>
    <w:rsid w:val="00B0387F"/>
    <w:rsid w:val="00B13BB5"/>
    <w:rsid w:val="00B16B8D"/>
    <w:rsid w:val="00B24E0C"/>
    <w:rsid w:val="00B252EC"/>
    <w:rsid w:val="00B43191"/>
    <w:rsid w:val="00B50A5F"/>
    <w:rsid w:val="00B60379"/>
    <w:rsid w:val="00B70997"/>
    <w:rsid w:val="00B763BB"/>
    <w:rsid w:val="00B77DF2"/>
    <w:rsid w:val="00B91649"/>
    <w:rsid w:val="00B93B3B"/>
    <w:rsid w:val="00B93DC7"/>
    <w:rsid w:val="00BA356C"/>
    <w:rsid w:val="00BA7339"/>
    <w:rsid w:val="00BC067E"/>
    <w:rsid w:val="00BC5604"/>
    <w:rsid w:val="00BC7F44"/>
    <w:rsid w:val="00BD200D"/>
    <w:rsid w:val="00BF5B7B"/>
    <w:rsid w:val="00BF7465"/>
    <w:rsid w:val="00C2208C"/>
    <w:rsid w:val="00C32E98"/>
    <w:rsid w:val="00C36CE3"/>
    <w:rsid w:val="00C464B7"/>
    <w:rsid w:val="00C47364"/>
    <w:rsid w:val="00C62DD3"/>
    <w:rsid w:val="00C71969"/>
    <w:rsid w:val="00C72FF2"/>
    <w:rsid w:val="00C74AE1"/>
    <w:rsid w:val="00C8111E"/>
    <w:rsid w:val="00C8418D"/>
    <w:rsid w:val="00C855DA"/>
    <w:rsid w:val="00C878C1"/>
    <w:rsid w:val="00C90EB5"/>
    <w:rsid w:val="00C94B11"/>
    <w:rsid w:val="00C97FDC"/>
    <w:rsid w:val="00CC049F"/>
    <w:rsid w:val="00CC124D"/>
    <w:rsid w:val="00CC5D09"/>
    <w:rsid w:val="00CE0E44"/>
    <w:rsid w:val="00CE3D16"/>
    <w:rsid w:val="00D04041"/>
    <w:rsid w:val="00D068E9"/>
    <w:rsid w:val="00D1735E"/>
    <w:rsid w:val="00D17C28"/>
    <w:rsid w:val="00D27322"/>
    <w:rsid w:val="00D63B67"/>
    <w:rsid w:val="00D64E49"/>
    <w:rsid w:val="00D8566F"/>
    <w:rsid w:val="00D94327"/>
    <w:rsid w:val="00DA7729"/>
    <w:rsid w:val="00DB1921"/>
    <w:rsid w:val="00DB2C9E"/>
    <w:rsid w:val="00DF38FE"/>
    <w:rsid w:val="00DF70C7"/>
    <w:rsid w:val="00E14B48"/>
    <w:rsid w:val="00E319AB"/>
    <w:rsid w:val="00E41D3C"/>
    <w:rsid w:val="00E67FF9"/>
    <w:rsid w:val="00E93B6D"/>
    <w:rsid w:val="00EA48BA"/>
    <w:rsid w:val="00EB1E99"/>
    <w:rsid w:val="00EB6CE8"/>
    <w:rsid w:val="00EC0351"/>
    <w:rsid w:val="00EC4E98"/>
    <w:rsid w:val="00ED2B48"/>
    <w:rsid w:val="00EE372F"/>
    <w:rsid w:val="00EF3A51"/>
    <w:rsid w:val="00F046A1"/>
    <w:rsid w:val="00F05D9C"/>
    <w:rsid w:val="00F071E7"/>
    <w:rsid w:val="00F1571D"/>
    <w:rsid w:val="00F340A6"/>
    <w:rsid w:val="00F3770A"/>
    <w:rsid w:val="00F55DA6"/>
    <w:rsid w:val="00F64A43"/>
    <w:rsid w:val="00F72A24"/>
    <w:rsid w:val="00F734D8"/>
    <w:rsid w:val="00F736AA"/>
    <w:rsid w:val="00FA7129"/>
    <w:rsid w:val="00FB1A44"/>
    <w:rsid w:val="00FB50B6"/>
    <w:rsid w:val="00FC436F"/>
    <w:rsid w:val="00FD21EA"/>
    <w:rsid w:val="00FE130A"/>
    <w:rsid w:val="00FE1660"/>
    <w:rsid w:val="00FF0D1E"/>
    <w:rsid w:val="4B65545E"/>
    <w:rsid w:val="67ED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nhideWhenUsed="0"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8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footnote reference"/>
    <w:basedOn w:val="8"/>
    <w:semiHidden/>
    <w:uiPriority w:val="99"/>
    <w:rPr>
      <w:rFonts w:cs="Times New Roman"/>
      <w:vertAlign w:val="superscript"/>
    </w:rPr>
  </w:style>
  <w:style w:type="character" w:styleId="12">
    <w:name w:val="annotation reference"/>
    <w:basedOn w:val="8"/>
    <w:semiHidden/>
    <w:uiPriority w:val="99"/>
    <w:rPr>
      <w:rFonts w:cs="Times New Roman"/>
      <w:sz w:val="18"/>
    </w:rPr>
  </w:style>
  <w:style w:type="character" w:styleId="13">
    <w:name w:val="Emphasis"/>
    <w:basedOn w:val="8"/>
    <w:qFormat/>
    <w:locked/>
    <w:uiPriority w:val="20"/>
    <w:rPr>
      <w:i/>
      <w:iCs/>
    </w:rPr>
  </w:style>
  <w:style w:type="character" w:styleId="14">
    <w:name w:val="Hyperlink"/>
    <w:basedOn w:val="8"/>
    <w:uiPriority w:val="99"/>
    <w:rPr>
      <w:rFonts w:ascii="Arial" w:hAnsi="Arial" w:cs="Times New Roman"/>
      <w:b/>
      <w:color w:val="5694CE"/>
      <w:sz w:val="20"/>
      <w:u w:val="none"/>
    </w:rPr>
  </w:style>
  <w:style w:type="character" w:styleId="15">
    <w:name w:val="page number"/>
    <w:basedOn w:val="8"/>
    <w:uiPriority w:val="99"/>
    <w:rPr>
      <w:rFonts w:cs="Times New Roman"/>
    </w:rPr>
  </w:style>
  <w:style w:type="character" w:styleId="16">
    <w:name w:val="Strong"/>
    <w:basedOn w:val="8"/>
    <w:qFormat/>
    <w:uiPriority w:val="22"/>
    <w:rPr>
      <w:rFonts w:cs="Times New Roman"/>
      <w:b/>
    </w:rPr>
  </w:style>
  <w:style w:type="paragraph" w:styleId="17">
    <w:name w:val="Balloon Text"/>
    <w:basedOn w:val="1"/>
    <w:link w:val="31"/>
    <w:semiHidden/>
    <w:uiPriority w:val="99"/>
    <w:rPr>
      <w:rFonts w:ascii="Arial" w:hAnsi="Arial" w:eastAsia="Batang"/>
      <w:sz w:val="18"/>
      <w:szCs w:val="18"/>
    </w:rPr>
  </w:style>
  <w:style w:type="paragraph" w:styleId="18">
    <w:name w:val="annotation text"/>
    <w:basedOn w:val="1"/>
    <w:link w:val="29"/>
    <w:semiHidden/>
    <w:uiPriority w:val="99"/>
  </w:style>
  <w:style w:type="paragraph" w:styleId="19">
    <w:name w:val="annotation subject"/>
    <w:basedOn w:val="18"/>
    <w:next w:val="18"/>
    <w:link w:val="30"/>
    <w:semiHidden/>
    <w:uiPriority w:val="99"/>
    <w:rPr>
      <w:b/>
      <w:bCs/>
    </w:rPr>
  </w:style>
  <w:style w:type="paragraph" w:styleId="20">
    <w:name w:val="footnote text"/>
    <w:basedOn w:val="1"/>
    <w:link w:val="33"/>
    <w:semiHidden/>
    <w:uiPriority w:val="99"/>
    <w:pPr>
      <w:snapToGrid w:val="0"/>
    </w:pPr>
    <w:rPr>
      <w:lang w:val="en-CA"/>
    </w:rPr>
  </w:style>
  <w:style w:type="paragraph" w:styleId="21">
    <w:name w:val="header"/>
    <w:basedOn w:val="1"/>
    <w:link w:val="27"/>
    <w:uiPriority w:val="99"/>
    <w:pPr>
      <w:tabs>
        <w:tab w:val="center" w:pos="4320"/>
        <w:tab w:val="right" w:pos="8640"/>
      </w:tabs>
    </w:pPr>
    <w:rPr>
      <w:rFonts w:ascii="Times" w:hAnsi="Times" w:eastAsia="Batang"/>
      <w:szCs w:val="20"/>
      <w:lang w:eastAsia="ko-KR"/>
    </w:rPr>
  </w:style>
  <w:style w:type="paragraph" w:styleId="22">
    <w:name w:val="Title"/>
    <w:basedOn w:val="1"/>
    <w:link w:val="35"/>
    <w:qFormat/>
    <w:uiPriority w:val="99"/>
    <w:pPr>
      <w:widowControl w:val="0"/>
      <w:wordWrap w:val="0"/>
      <w:autoSpaceDE w:val="0"/>
      <w:autoSpaceDN w:val="0"/>
      <w:ind w:left="1800" w:leftChars="900"/>
      <w:jc w:val="center"/>
    </w:pPr>
    <w:rPr>
      <w:rFonts w:ascii="Arial Narrow" w:hAnsi="Arial Narrow" w:eastAsia="가는각진제목체"/>
      <w:b/>
      <w:bCs/>
      <w:kern w:val="2"/>
      <w:sz w:val="36"/>
      <w:lang w:eastAsia="ko-KR"/>
    </w:rPr>
  </w:style>
  <w:style w:type="paragraph" w:styleId="23">
    <w:name w:val="footer"/>
    <w:basedOn w:val="1"/>
    <w:link w:val="28"/>
    <w:uiPriority w:val="9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paragraph" w:styleId="24">
    <w:name w:val="Normal (Web)"/>
    <w:basedOn w:val="1"/>
    <w:qFormat/>
    <w:uiPriority w:val="99"/>
    <w:pPr>
      <w:spacing w:before="15" w:after="15"/>
    </w:pPr>
    <w:rPr>
      <w:rFonts w:ascii="Gulim" w:hAnsi="Gulim" w:eastAsia="Batang" w:cs="Gulim"/>
      <w:sz w:val="20"/>
      <w:szCs w:val="20"/>
      <w:lang w:eastAsia="ko-KR"/>
    </w:rPr>
  </w:style>
  <w:style w:type="paragraph" w:styleId="25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26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Header Char"/>
    <w:basedOn w:val="8"/>
    <w:link w:val="21"/>
    <w:locked/>
    <w:uiPriority w:val="99"/>
    <w:rPr>
      <w:rFonts w:ascii="Times" w:hAnsi="Times" w:cs="Times New Roman"/>
      <w:kern w:val="0"/>
      <w:sz w:val="20"/>
    </w:rPr>
  </w:style>
  <w:style w:type="character" w:customStyle="1" w:styleId="28">
    <w:name w:val="Footer Char"/>
    <w:basedOn w:val="8"/>
    <w:link w:val="23"/>
    <w:locked/>
    <w:uiPriority w:val="99"/>
    <w:rPr>
      <w:rFonts w:ascii="Times New Roman" w:hAnsi="Times New Roman" w:cs="Times New Roman"/>
      <w:kern w:val="0"/>
      <w:sz w:val="20"/>
    </w:rPr>
  </w:style>
  <w:style w:type="character" w:customStyle="1" w:styleId="29">
    <w:name w:val="Comment Text Char"/>
    <w:basedOn w:val="8"/>
    <w:link w:val="18"/>
    <w:semiHidden/>
    <w:locked/>
    <w:uiPriority w:val="99"/>
    <w:rPr>
      <w:rFonts w:ascii="Times New Roman" w:hAnsi="Times New Roman" w:eastAsia="SimSun" w:cs="Times New Roman"/>
      <w:sz w:val="24"/>
      <w:lang w:eastAsia="zh-CN"/>
    </w:rPr>
  </w:style>
  <w:style w:type="character" w:customStyle="1" w:styleId="30">
    <w:name w:val="Comment Subject Char"/>
    <w:basedOn w:val="29"/>
    <w:link w:val="19"/>
    <w:semiHidden/>
    <w:locked/>
    <w:uiPriority w:val="99"/>
    <w:rPr>
      <w:rFonts w:ascii="Times New Roman" w:hAnsi="Times New Roman" w:eastAsia="SimSun" w:cs="Times New Roman"/>
      <w:b/>
      <w:bCs/>
      <w:kern w:val="0"/>
      <w:sz w:val="24"/>
      <w:szCs w:val="24"/>
      <w:lang w:eastAsia="zh-CN"/>
    </w:rPr>
  </w:style>
  <w:style w:type="character" w:customStyle="1" w:styleId="31">
    <w:name w:val="Balloon Text Char"/>
    <w:basedOn w:val="8"/>
    <w:link w:val="17"/>
    <w:semiHidden/>
    <w:locked/>
    <w:uiPriority w:val="99"/>
    <w:rPr>
      <w:rFonts w:ascii="Malgun Gothic" w:hAnsi="Malgun Gothic" w:cs="Times New Roman"/>
      <w:kern w:val="0"/>
      <w:sz w:val="2"/>
      <w:lang w:eastAsia="zh-CN"/>
    </w:rPr>
  </w:style>
  <w:style w:type="paragraph" w:customStyle="1" w:styleId="32">
    <w:name w:val="Defaul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GB" w:eastAsia="ko-KR" w:bidi="ar-SA"/>
    </w:rPr>
  </w:style>
  <w:style w:type="character" w:customStyle="1" w:styleId="33">
    <w:name w:val="Footnote Text Char"/>
    <w:basedOn w:val="8"/>
    <w:link w:val="20"/>
    <w:semiHidden/>
    <w:locked/>
    <w:uiPriority w:val="99"/>
    <w:rPr>
      <w:rFonts w:ascii="Times New Roman" w:hAnsi="Times New Roman" w:eastAsia="SimSun" w:cs="Times New Roman"/>
      <w:sz w:val="24"/>
      <w:lang w:val="en-CA" w:eastAsia="zh-CN"/>
    </w:rPr>
  </w:style>
  <w:style w:type="paragraph" w:customStyle="1" w:styleId="34">
    <w:name w:val="List Paragraph1"/>
    <w:basedOn w:val="1"/>
    <w:uiPriority w:val="99"/>
    <w:pPr>
      <w:ind w:left="720"/>
    </w:pPr>
    <w:rPr>
      <w:rFonts w:ascii="Calibri" w:hAnsi="Calibri" w:eastAsia="Batang"/>
      <w:sz w:val="22"/>
      <w:szCs w:val="22"/>
      <w:lang w:eastAsia="ko-KR"/>
    </w:rPr>
  </w:style>
  <w:style w:type="character" w:customStyle="1" w:styleId="35">
    <w:name w:val="Title Char"/>
    <w:basedOn w:val="8"/>
    <w:link w:val="22"/>
    <w:locked/>
    <w:uiPriority w:val="99"/>
    <w:rPr>
      <w:rFonts w:ascii="Arial Narrow" w:hAnsi="Arial Narrow" w:eastAsia="가는각진제목체" w:cs="Times New Roman"/>
      <w:b/>
      <w:kern w:val="2"/>
      <w:sz w:val="24"/>
    </w:rPr>
  </w:style>
  <w:style w:type="paragraph" w:customStyle="1" w:styleId="36">
    <w:name w:val="수정1"/>
    <w:hidden/>
    <w:semiHidden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37">
    <w:name w:val="Revision1"/>
    <w:hidden/>
    <w:semiHidden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38">
    <w:name w:val="목록 단락1"/>
    <w:basedOn w:val="1"/>
    <w:uiPriority w:val="99"/>
    <w:pPr>
      <w:spacing w:after="200" w:line="276" w:lineRule="auto"/>
      <w:ind w:left="720"/>
      <w:contextualSpacing/>
    </w:pPr>
    <w:rPr>
      <w:rFonts w:ascii="Malgun Gothic" w:hAnsi="Malgun Gothic" w:eastAsia="Batang"/>
      <w:sz w:val="22"/>
      <w:szCs w:val="22"/>
      <w:lang w:eastAsia="ja-JP"/>
    </w:rPr>
  </w:style>
  <w:style w:type="paragraph" w:customStyle="1" w:styleId="39">
    <w:name w:val="중간 목록 2 - 강조색 21"/>
    <w:hidden/>
    <w:semiHidden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40">
    <w:name w:val="색상형 음영 - 강조색 11"/>
    <w:hidden/>
    <w:semiHidden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paragraph" w:customStyle="1" w:styleId="41">
    <w:name w:val="색상형 목록 - 강조색 11"/>
    <w:basedOn w:val="1"/>
    <w:uiPriority w:val="99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42">
    <w:name w:val="longtext"/>
    <w:basedOn w:val="8"/>
    <w:uiPriority w:val="99"/>
    <w:rPr>
      <w:rFonts w:cs="Times New Roman"/>
    </w:rPr>
  </w:style>
  <w:style w:type="paragraph" w:styleId="43">
    <w:name w:val="List Paragraph"/>
    <w:basedOn w:val="1"/>
    <w:qFormat/>
    <w:uiPriority w:val="34"/>
    <w:pPr>
      <w:widowControl w:val="0"/>
      <w:wordWrap w:val="0"/>
      <w:autoSpaceDE w:val="0"/>
      <w:autoSpaceDN w:val="0"/>
      <w:ind w:left="800" w:leftChars="4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44">
    <w:name w:val="Revision"/>
    <w:hidden/>
    <w:semiHidden/>
    <w:uiPriority w:val="99"/>
    <w:rPr>
      <w:rFonts w:ascii="Times New Roman" w:hAnsi="Times New Roman" w:eastAsia="SimSun" w:cs="Times New Roman"/>
      <w:sz w:val="24"/>
      <w:szCs w:val="24"/>
      <w:lang w:val="en-GB" w:eastAsia="zh-CN" w:bidi="ar-SA"/>
    </w:rPr>
  </w:style>
  <w:style w:type="character" w:customStyle="1" w:styleId="45">
    <w:name w:val="apple-converted-space"/>
    <w:basedOn w:val="8"/>
    <w:uiPriority w:val="0"/>
  </w:style>
  <w:style w:type="character" w:customStyle="1" w:styleId="46">
    <w:name w:val="확인되지 않은 멘션1"/>
    <w:basedOn w:val="8"/>
    <w:semiHidden/>
    <w:unhideWhenUsed/>
    <w:uiPriority w:val="99"/>
    <w:rPr>
      <w:color w:val="808080"/>
      <w:shd w:val="clear" w:color="auto" w:fill="E6E6E6"/>
    </w:rPr>
  </w:style>
  <w:style w:type="character" w:customStyle="1" w:styleId="47">
    <w:name w:val="확인되지 않은 멘션2"/>
    <w:basedOn w:val="8"/>
    <w:semiHidden/>
    <w:unhideWhenUsed/>
    <w:uiPriority w:val="99"/>
    <w:rPr>
      <w:color w:val="605E5C"/>
      <w:shd w:val="clear" w:color="auto" w:fill="E1DFDD"/>
    </w:rPr>
  </w:style>
  <w:style w:type="paragraph" w:customStyle="1" w:styleId="48">
    <w:name w:val="paragraph"/>
    <w:basedOn w:val="1"/>
    <w:uiPriority w:val="0"/>
    <w:rPr>
      <w:rFonts w:ascii="Gulim" w:hAnsi="Gulim" w:eastAsia="Gulim" w:cs="Gulim"/>
      <w:lang w:eastAsia="ko-KR"/>
    </w:rPr>
  </w:style>
  <w:style w:type="character" w:customStyle="1" w:styleId="49">
    <w:name w:val="Unresolved Mention1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99D89D-4075-42F7-B96A-AB98C9B80E82}">
  <ds:schemaRefs/>
</ds:datastoreItem>
</file>

<file path=customXml/itemProps3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</Company>
  <Pages>2</Pages>
  <Words>674</Words>
  <Characters>3847</Characters>
  <Lines>32</Lines>
  <Paragraphs>9</Paragraphs>
  <TotalTime>10</TotalTime>
  <ScaleCrop>false</ScaleCrop>
  <LinksUpToDate>false</LinksUpToDate>
  <CharactersWithSpaces>4512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2021-04-07T15:01:00Z</dcterms:created>
  <dc:creator>lg.jasmine.lee</dc:creator>
  <cp:lastModifiedBy>User</cp:lastModifiedBy>
  <cp:lastPrinted>2021-04-05T03:46:00Z</cp:lastPrinted>
  <dcterms:modified xsi:type="dcterms:W3CDTF">2021-04-09T07:42:49Z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