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uppressAutoHyphens/>
        <w:jc w:val="center"/>
        <w:rPr>
          <w:b/>
          <w:bCs/>
          <w:sz w:val="28"/>
          <w:szCs w:val="28"/>
          <w:lang w:val="ru-RU"/>
        </w:rPr>
      </w:pPr>
      <w:bookmarkStart w:id="0" w:name="_Hlk6225268"/>
      <w:bookmarkStart w:id="1" w:name="_GoBack"/>
      <w:r>
        <w:rPr>
          <w:b/>
          <w:bCs/>
          <w:sz w:val="28"/>
          <w:szCs w:val="28"/>
          <w:lang w:val="ru-RU"/>
        </w:rPr>
        <w:t xml:space="preserve">ЛАЗЕРНЫЙ ПРОЕКТОР </w:t>
      </w:r>
      <w:r>
        <w:rPr>
          <w:b/>
          <w:bCs/>
          <w:sz w:val="28"/>
          <w:szCs w:val="28"/>
        </w:rPr>
        <w:t>LG</w:t>
      </w:r>
      <w:r>
        <w:rPr>
          <w:b/>
          <w:bCs/>
          <w:sz w:val="28"/>
          <w:szCs w:val="28"/>
          <w:lang w:val="ru-RU"/>
        </w:rPr>
        <w:t xml:space="preserve"> CINEBEAM </w:t>
      </w:r>
      <w:r>
        <w:rPr>
          <w:b/>
          <w:bCs/>
          <w:sz w:val="28"/>
          <w:szCs w:val="28"/>
        </w:rPr>
        <w:t>H</w:t>
      </w:r>
      <w:r>
        <w:rPr>
          <w:b/>
          <w:bCs/>
          <w:sz w:val="28"/>
          <w:szCs w:val="28"/>
          <w:lang w:val="ru-RU"/>
        </w:rPr>
        <w:t>U810P</w:t>
      </w:r>
      <w:r>
        <w:rPr>
          <w:b/>
          <w:bCs/>
          <w:sz w:val="28"/>
          <w:szCs w:val="28"/>
        </w:rPr>
        <w:t>W</w:t>
      </w:r>
      <w:r>
        <w:rPr>
          <w:b/>
          <w:bCs/>
          <w:sz w:val="28"/>
          <w:szCs w:val="28"/>
          <w:lang w:val="ru-RU"/>
        </w:rPr>
        <w:t>: 4K UHD ИЗОБРАЖЕНИЕ ДЛЯ ДОМАШНЕГО КИНОТЕАТРА С ЭКРАНОМ ДО 300 ДЮЙМОВ</w:t>
      </w:r>
      <w:bookmarkEnd w:id="1"/>
    </w:p>
    <w:p>
      <w:pPr>
        <w:suppressAutoHyphens/>
        <w:jc w:val="center"/>
        <w:rPr>
          <w:b/>
          <w:bCs/>
          <w:sz w:val="28"/>
          <w:szCs w:val="28"/>
          <w:lang w:val="ru-RU"/>
        </w:rPr>
      </w:pPr>
    </w:p>
    <w:p>
      <w:pPr>
        <w:suppressAutoHyphens/>
        <w:jc w:val="center"/>
        <w:rPr>
          <w:b/>
          <w:bCs/>
          <w:sz w:val="28"/>
          <w:szCs w:val="28"/>
          <w:lang w:val="ru-RU"/>
        </w:rPr>
      </w:pPr>
    </w:p>
    <w:p>
      <w:pPr>
        <w:pStyle w:val="21"/>
        <w:suppressAutoHyphens/>
        <w:jc w:val="center"/>
        <w:rPr>
          <w:b/>
          <w:bCs/>
          <w:sz w:val="6"/>
          <w:szCs w:val="6"/>
          <w:lang w:val="ru-RU"/>
        </w:rPr>
      </w:pPr>
    </w:p>
    <w:bookmarkEnd w:id="0"/>
    <w:p>
      <w:pPr>
        <w:suppressAutoHyphens/>
        <w:spacing w:line="360" w:lineRule="auto"/>
        <w:ind w:firstLine="567"/>
        <w:jc w:val="both"/>
        <w:rPr>
          <w:lang w:val="ru-RU"/>
        </w:rPr>
      </w:pPr>
      <w:r>
        <w:rPr>
          <w:b/>
          <w:bCs/>
          <w:lang w:val="ru-RU"/>
        </w:rPr>
        <w:t xml:space="preserve">Москва, 7 апреля 2021 г. </w:t>
      </w:r>
      <w:r>
        <w:rPr>
          <w:lang w:val="ru-RU"/>
        </w:rPr>
        <w:t xml:space="preserve">— Компания LG Electronics (LG) представляет модель </w:t>
      </w:r>
      <w:r>
        <w:t>LG</w:t>
      </w:r>
      <w:r>
        <w:rPr>
          <w:lang w:val="ru-RU"/>
        </w:rPr>
        <w:t xml:space="preserve"> </w:t>
      </w:r>
      <w:r>
        <w:t>CineBeam</w:t>
      </w:r>
      <w:r>
        <w:rPr>
          <w:lang w:val="ru-RU"/>
        </w:rPr>
        <w:t xml:space="preserve"> </w:t>
      </w:r>
      <w:r>
        <w:t>H</w:t>
      </w:r>
      <w:r>
        <w:rPr>
          <w:lang w:val="ru-RU"/>
        </w:rPr>
        <w:t xml:space="preserve">U810PW для домашних кинотеатров высокого уровня. Среди главных преимуществ новинки 3-канальный 2-цветный лазерный источник для точной цветопередачи, широкий цветовой охват DCI-P3 97% для реалистичности цветов, разрешение 4К UHD для высочайшей детализации, а также яркость 2700 </w:t>
      </w:r>
      <w:r>
        <w:t>ANSI</w:t>
      </w:r>
      <w:r>
        <w:rPr>
          <w:lang w:val="ru-RU"/>
        </w:rPr>
        <w:t xml:space="preserve"> люмен для высокого контраста и расширенного цветового диапазона </w:t>
      </w:r>
      <w:r>
        <w:t>HDR</w:t>
      </w:r>
      <w:r>
        <w:rPr>
          <w:lang w:val="ru-RU"/>
        </w:rPr>
        <w:t>.</w:t>
      </w:r>
    </w:p>
    <w:p>
      <w:pPr>
        <w:suppressAutoHyphens/>
        <w:spacing w:line="360" w:lineRule="auto"/>
        <w:ind w:firstLine="567"/>
        <w:jc w:val="both"/>
        <w:rPr>
          <w:lang w:val="ru-RU"/>
        </w:rPr>
      </w:pPr>
      <w:r>
        <w:rPr>
          <w:lang w:val="ru-RU"/>
        </w:rPr>
        <w:t>Новая модель обеспечивает оптимальное качество для любого изображения в любом пространстве вашего дома. Проектор LG CineBeam с 8,3 мегапикселями и технологией 4K UHD Laser обеспечивает отличную точность и детализацию вплоть до максимальной диагонали экрана в 300-дюймов.</w:t>
      </w:r>
    </w:p>
    <w:p>
      <w:pPr>
        <w:suppressAutoHyphens/>
        <w:spacing w:line="360" w:lineRule="auto"/>
        <w:ind w:firstLine="567"/>
        <w:jc w:val="both"/>
        <w:rPr>
          <w:lang w:val="ru-RU"/>
        </w:rPr>
      </w:pPr>
      <w:r>
        <w:rPr>
          <w:lang w:val="ru-RU"/>
        </w:rPr>
        <w:t>Благодаря функциям сдвига линзы (H ± 24%, V ± 60%) и Zoom x1,6 вы можете установить устройство в удобном месте и настроить проекцию точно по размеру и местоположению.</w:t>
      </w:r>
    </w:p>
    <w:p>
      <w:pPr>
        <w:suppressAutoHyphens/>
        <w:spacing w:line="360" w:lineRule="auto"/>
        <w:ind w:firstLine="567"/>
        <w:jc w:val="both"/>
        <w:rPr>
          <w:lang w:val="ru-RU"/>
        </w:rPr>
      </w:pPr>
      <w:r>
        <w:rPr>
          <w:lang w:val="ru-RU"/>
        </w:rPr>
        <w:t>Проектор отображает видео контент с высоким разрешением и плотностью информации через соединение HDMI 2.1 и может выводить 10-битные изображения с характеристиками 4:4:4 RGB. Поддерживает eARC</w:t>
      </w:r>
      <w:r>
        <w:rPr>
          <w:rStyle w:val="4"/>
          <w:lang w:val="ru-RU"/>
        </w:rPr>
        <w:footnoteReference w:id="0"/>
      </w:r>
      <w:r>
        <w:rPr>
          <w:lang w:val="ru-RU"/>
        </w:rPr>
        <w:t>.</w:t>
      </w:r>
    </w:p>
    <w:p>
      <w:pPr>
        <w:suppressAutoHyphens/>
        <w:spacing w:line="360" w:lineRule="auto"/>
        <w:ind w:firstLine="567"/>
        <w:jc w:val="both"/>
        <w:rPr>
          <w:lang w:val="ru-RU"/>
        </w:rPr>
      </w:pPr>
      <w:r>
        <w:rPr>
          <w:lang w:val="ru-RU"/>
        </w:rPr>
        <w:t>Благодаря коэффициенту контрастности 2 000 000:1 обеспечивается высокий уровень черного, а также другие оттенки благодаря широкому цветовому охвату 97% DCI-P3.</w:t>
      </w:r>
    </w:p>
    <w:p>
      <w:pPr>
        <w:suppressAutoHyphens/>
        <w:spacing w:line="360" w:lineRule="auto"/>
        <w:ind w:firstLine="567"/>
        <w:jc w:val="both"/>
        <w:rPr>
          <w:lang w:val="ru-RU"/>
        </w:rPr>
      </w:pPr>
      <w:r>
        <w:rPr>
          <w:lang w:val="ru-RU"/>
        </w:rPr>
        <w:t>Режим диафрагмы предназначен для эффективного отображения картинки как при ярком освещении, так и в темном помещении: в зависимости от условий освещения пространства для просмотра вы можете изменить режим диафрагмы. Адаптивная контрастность придает большую глубину вашему изображению, настраивая мощность излучения лазерного источника под изображение, чтобы обеспечить высокий контраст. Яркие сцены выглядят ярче, в то время как темные сцены остаются детализированными с глубокими черными деталями и тенями.</w:t>
      </w:r>
    </w:p>
    <w:p>
      <w:pPr>
        <w:suppressAutoHyphens/>
        <w:spacing w:line="360" w:lineRule="auto"/>
        <w:ind w:firstLine="567"/>
        <w:jc w:val="both"/>
        <w:rPr>
          <w:lang w:val="ru-RU"/>
        </w:rPr>
      </w:pPr>
      <w:r>
        <w:rPr>
          <w:lang w:val="ru-RU"/>
        </w:rPr>
        <w:t>Режим Filmmaker</w:t>
      </w:r>
      <w:r>
        <w:rPr>
          <w:rStyle w:val="4"/>
          <w:lang w:val="ru-RU"/>
        </w:rPr>
        <w:footnoteReference w:id="1"/>
      </w:r>
      <w:r>
        <w:rPr>
          <w:lang w:val="ru-RU"/>
        </w:rPr>
        <w:t xml:space="preserve"> отключает сглаживание движения и другие настройки обработки видео, позволяя точно передавать намерение режиссёра. </w:t>
      </w:r>
    </w:p>
    <w:p>
      <w:pPr>
        <w:suppressAutoHyphens/>
        <w:spacing w:line="360" w:lineRule="auto"/>
        <w:ind w:firstLine="567"/>
        <w:jc w:val="both"/>
        <w:rPr>
          <w:lang w:val="ru-RU"/>
        </w:rPr>
      </w:pPr>
      <w:r>
        <w:rPr>
          <w:lang w:val="ru-RU"/>
        </w:rPr>
        <w:t>HDR pro улучшает качество, делая яркую часть изображения ярче, а темную темнее, используя детали темной стороны. Устройство совместимо почти со всеми отраслевыми стандартами HDR (</w:t>
      </w:r>
      <w:r>
        <w:t>HDR</w:t>
      </w:r>
      <w:r>
        <w:rPr>
          <w:lang w:val="ru-RU"/>
        </w:rPr>
        <w:t xml:space="preserve">10, </w:t>
      </w:r>
      <w:r>
        <w:t>Dynamic</w:t>
      </w:r>
      <w:r>
        <w:rPr>
          <w:lang w:val="ru-RU"/>
        </w:rPr>
        <w:t xml:space="preserve"> </w:t>
      </w:r>
      <w:r>
        <w:t>Tone</w:t>
      </w:r>
      <w:r>
        <w:rPr>
          <w:lang w:val="ru-RU"/>
        </w:rPr>
        <w:t xml:space="preserve"> </w:t>
      </w:r>
      <w:r>
        <w:t>Mapping</w:t>
      </w:r>
      <w:r>
        <w:rPr>
          <w:lang w:val="ru-RU"/>
        </w:rPr>
        <w:t xml:space="preserve">, </w:t>
      </w:r>
      <w:r>
        <w:t>HLG</w:t>
      </w:r>
      <w:r>
        <w:rPr>
          <w:lang w:val="ru-RU"/>
        </w:rPr>
        <w:t xml:space="preserve"> и </w:t>
      </w:r>
      <w:r>
        <w:t>HGiG</w:t>
      </w:r>
      <w:r>
        <w:rPr>
          <w:lang w:val="ru-RU"/>
        </w:rPr>
        <w:t xml:space="preserve">). </w:t>
      </w:r>
      <w:r>
        <w:rPr>
          <w:rStyle w:val="4"/>
          <w:lang w:val="ru-RU"/>
        </w:rPr>
        <w:footnoteReference w:id="2"/>
      </w:r>
    </w:p>
    <w:p>
      <w:pPr>
        <w:suppressAutoHyphens/>
        <w:spacing w:line="360" w:lineRule="auto"/>
        <w:ind w:firstLine="567"/>
        <w:jc w:val="both"/>
        <w:rPr>
          <w:lang w:val="ru-RU"/>
        </w:rPr>
      </w:pPr>
      <w:r>
        <w:rPr>
          <w:lang w:val="ru-RU"/>
        </w:rPr>
        <w:t xml:space="preserve">Благодаря способности пропускать звук в формате </w:t>
      </w:r>
      <w:r>
        <w:t>Dolby</w:t>
      </w:r>
      <w:r>
        <w:rPr>
          <w:lang w:val="ru-RU"/>
        </w:rPr>
        <w:t xml:space="preserve"> </w:t>
      </w:r>
      <w:r>
        <w:t>Atmos</w:t>
      </w:r>
      <w:r>
        <w:rPr>
          <w:lang w:val="ru-RU"/>
        </w:rPr>
        <w:t xml:space="preserve"> вам не потребуется дополнительное оборудование для получение звука высокого качества.  Кроме того,  встроенные в проектор динамики 5+5Вт позволяют воспроизводить звук, не подключая внешней аудиосистемы.</w:t>
      </w:r>
    </w:p>
    <w:p>
      <w:pPr>
        <w:suppressAutoHyphens/>
        <w:spacing w:line="360" w:lineRule="auto"/>
        <w:ind w:firstLine="567"/>
        <w:jc w:val="both"/>
        <w:rPr>
          <w:lang w:val="ru-RU"/>
        </w:rPr>
      </w:pPr>
      <w:r>
        <w:rPr>
          <w:lang w:val="ru-RU"/>
        </w:rPr>
        <w:t>Эта модель может похвастаться продолжительным сроком службы источника света - 20 000 часов (при высокой яркости) и 30 000 часов (в экономичном режиме). Легко рассчитать, что такого ресурса достаточно, чтобы посмотреть не менее 10 тысяч полнометражных фильмов или на 27 лет, если ограничиться одним фильмом в день!</w:t>
      </w:r>
    </w:p>
    <w:p>
      <w:pPr>
        <w:suppressAutoHyphens/>
        <w:spacing w:line="360" w:lineRule="auto"/>
        <w:ind w:firstLine="567"/>
        <w:jc w:val="both"/>
        <w:rPr>
          <w:lang w:val="ru-RU"/>
        </w:rPr>
      </w:pPr>
      <w:r>
        <w:t>LG</w:t>
      </w:r>
      <w:r>
        <w:rPr>
          <w:lang w:val="ru-RU"/>
        </w:rPr>
        <w:t xml:space="preserve"> HU810PW – это умный проектор: с WebOS 5.0 вы можете просматривать различные телешоу и фильмы, просто подключившись к своей сети Wi-Fi. Вы можете просматривать видео с помощью встроенных приложений, таких как Amazon Prime </w:t>
      </w:r>
      <w:r>
        <w:t>Video</w:t>
      </w:r>
      <w:r>
        <w:rPr>
          <w:lang w:val="ru-RU"/>
        </w:rPr>
        <w:t xml:space="preserve">, </w:t>
      </w:r>
      <w:r>
        <w:t>MEGOGO</w:t>
      </w:r>
      <w:r>
        <w:rPr>
          <w:lang w:val="ru-RU"/>
        </w:rPr>
        <w:t xml:space="preserve">, </w:t>
      </w:r>
      <w:r>
        <w:t>iVi</w:t>
      </w:r>
      <w:r>
        <w:rPr>
          <w:lang w:val="ru-RU"/>
        </w:rPr>
        <w:t xml:space="preserve">, </w:t>
      </w:r>
      <w:r>
        <w:t>Okko</w:t>
      </w:r>
      <w:r>
        <w:rPr>
          <w:lang w:val="ru-RU"/>
        </w:rPr>
        <w:t xml:space="preserve">, </w:t>
      </w:r>
      <w:r>
        <w:t>Kinopoisk</w:t>
      </w:r>
      <w:r>
        <w:rPr>
          <w:lang w:val="ru-RU"/>
        </w:rPr>
        <w:t xml:space="preserve"> </w:t>
      </w:r>
      <w:r>
        <w:t>HD</w:t>
      </w:r>
      <w:r>
        <w:rPr>
          <w:lang w:val="ru-RU"/>
        </w:rPr>
        <w:t xml:space="preserve"> и многие другие. А управлять проектором удобно при помощи пульта </w:t>
      </w:r>
      <w:r>
        <w:t>Magic</w:t>
      </w:r>
      <w:r>
        <w:rPr>
          <w:rStyle w:val="4"/>
        </w:rPr>
        <w:footnoteReference w:id="3"/>
      </w:r>
      <w:r>
        <w:rPr>
          <w:lang w:val="ru-RU"/>
        </w:rPr>
        <w:t xml:space="preserve"> с интеллектуальной подсветкой.</w:t>
      </w:r>
    </w:p>
    <w:p>
      <w:pPr>
        <w:suppressAutoHyphens/>
        <w:spacing w:line="360" w:lineRule="auto"/>
        <w:ind w:firstLine="567"/>
        <w:jc w:val="both"/>
        <w:rPr>
          <w:lang w:val="ru-RU"/>
        </w:rPr>
      </w:pPr>
      <w:r>
        <w:rPr>
          <w:lang w:val="ru-RU"/>
        </w:rPr>
        <w:t>Вы также можете удобно транслировать видео, отобразить экран и звук с помощью AirPlay 2 (для устройств iOS), использовать Screen Share</w:t>
      </w:r>
      <w:r>
        <w:rPr>
          <w:rStyle w:val="4"/>
          <w:lang w:val="ru-RU"/>
        </w:rPr>
        <w:footnoteReference w:id="4"/>
      </w:r>
      <w:r>
        <w:rPr>
          <w:lang w:val="ru-RU"/>
        </w:rPr>
        <w:t xml:space="preserve"> (для беспроводных устройств с поддержкой Miracast®) и подключить акустику или наушники посредством Bluetooth соединения. А ещё возможно воспроизводить файлы с </w:t>
      </w:r>
      <w:r>
        <w:t>USB</w:t>
      </w:r>
      <w:r>
        <w:rPr>
          <w:lang w:val="ru-RU"/>
        </w:rPr>
        <w:t xml:space="preserve"> носителей</w:t>
      </w:r>
    </w:p>
    <w:p>
      <w:pPr>
        <w:suppressAutoHyphens/>
        <w:spacing w:line="360" w:lineRule="auto"/>
        <w:ind w:firstLine="567"/>
        <w:jc w:val="both"/>
        <w:rPr>
          <w:lang w:val="ru-RU"/>
        </w:rPr>
      </w:pPr>
      <w:r>
        <w:rPr>
          <w:lang w:val="ru-RU"/>
        </w:rPr>
        <w:t>Такой проектор позволит создать персональный домашний кинотеатр с отличным качеством изображения и звука, что весьма актуально, если вы предпочитаете просмотр фильмов вне общественных мест.</w:t>
      </w:r>
    </w:p>
    <w:p>
      <w:pPr>
        <w:suppressAutoHyphens/>
        <w:spacing w:line="360" w:lineRule="auto"/>
        <w:ind w:firstLine="567"/>
        <w:jc w:val="both"/>
        <w:rPr>
          <w:lang w:val="ru-RU"/>
        </w:rPr>
      </w:pPr>
      <w:r>
        <w:rPr>
          <w:color w:val="000000" w:themeColor="text1"/>
          <w:lang w:val="ru-RU" w:eastAsia="ko-KR"/>
          <w14:textFill>
            <w14:solidFill>
              <w14:schemeClr w14:val="tx1"/>
            </w14:solidFill>
          </w14:textFill>
        </w:rPr>
        <w:t xml:space="preserve">Проектор </w:t>
      </w:r>
      <w:r>
        <w:t>LG</w:t>
      </w:r>
      <w:r>
        <w:rPr>
          <w:lang w:val="ru-RU"/>
        </w:rPr>
        <w:t xml:space="preserve"> HU810PW ожидается в продаже в России в мае 2021 г.</w:t>
      </w:r>
      <w:r>
        <w:rPr>
          <w:color w:val="000000" w:themeColor="text1"/>
          <w:lang w:val="ru-RU" w:eastAsia="ko-KR"/>
          <w14:textFill>
            <w14:solidFill>
              <w14:schemeClr w14:val="tx1"/>
            </w14:solidFill>
          </w14:textFill>
        </w:rPr>
        <w:t xml:space="preserve"> </w:t>
      </w:r>
      <w:r>
        <w:rPr>
          <w:lang w:val="ru-RU"/>
        </w:rPr>
        <w:t xml:space="preserve">Более подробная информация доступна на сайте </w:t>
      </w:r>
      <w:r>
        <w:fldChar w:fldCharType="begin"/>
      </w:r>
      <w:r>
        <w:instrText xml:space="preserve"> HYPERLINK "https://www.lg.com/ru/projectors/lg-hu810pw" </w:instrText>
      </w:r>
      <w:r>
        <w:fldChar w:fldCharType="separate"/>
      </w:r>
      <w:r>
        <w:rPr>
          <w:rStyle w:val="6"/>
        </w:rPr>
        <w:t>https</w:t>
      </w:r>
      <w:r>
        <w:rPr>
          <w:rStyle w:val="6"/>
          <w:lang w:val="ru-RU"/>
        </w:rPr>
        <w:t>://</w:t>
      </w:r>
      <w:r>
        <w:rPr>
          <w:rStyle w:val="6"/>
        </w:rPr>
        <w:t>www</w:t>
      </w:r>
      <w:r>
        <w:rPr>
          <w:rStyle w:val="6"/>
          <w:lang w:val="ru-RU"/>
        </w:rPr>
        <w:t>.</w:t>
      </w:r>
      <w:r>
        <w:rPr>
          <w:rStyle w:val="6"/>
        </w:rPr>
        <w:t>lg</w:t>
      </w:r>
      <w:r>
        <w:rPr>
          <w:rStyle w:val="6"/>
          <w:lang w:val="ru-RU"/>
        </w:rPr>
        <w:t>.</w:t>
      </w:r>
      <w:r>
        <w:rPr>
          <w:rStyle w:val="6"/>
        </w:rPr>
        <w:t>com</w:t>
      </w:r>
      <w:r>
        <w:rPr>
          <w:rStyle w:val="6"/>
          <w:lang w:val="ru-RU"/>
        </w:rPr>
        <w:t>/</w:t>
      </w:r>
      <w:r>
        <w:rPr>
          <w:rStyle w:val="6"/>
        </w:rPr>
        <w:t>ru</w:t>
      </w:r>
      <w:r>
        <w:rPr>
          <w:rStyle w:val="6"/>
          <w:lang w:val="ru-RU"/>
        </w:rPr>
        <w:t>/</w:t>
      </w:r>
      <w:r>
        <w:rPr>
          <w:rStyle w:val="6"/>
        </w:rPr>
        <w:t>projectors</w:t>
      </w:r>
      <w:r>
        <w:rPr>
          <w:rStyle w:val="6"/>
          <w:lang w:val="ru-RU"/>
        </w:rPr>
        <w:t>/</w:t>
      </w:r>
      <w:r>
        <w:rPr>
          <w:rStyle w:val="6"/>
        </w:rPr>
        <w:t>lg</w:t>
      </w:r>
      <w:r>
        <w:rPr>
          <w:rStyle w:val="6"/>
          <w:lang w:val="ru-RU"/>
        </w:rPr>
        <w:t>-</w:t>
      </w:r>
      <w:r>
        <w:rPr>
          <w:rStyle w:val="6"/>
        </w:rPr>
        <w:t>hu</w:t>
      </w:r>
      <w:r>
        <w:rPr>
          <w:rStyle w:val="6"/>
          <w:lang w:val="ru-RU"/>
        </w:rPr>
        <w:t>810</w:t>
      </w:r>
      <w:r>
        <w:rPr>
          <w:rStyle w:val="6"/>
        </w:rPr>
        <w:t>pw</w:t>
      </w:r>
      <w:r>
        <w:rPr>
          <w:rStyle w:val="6"/>
        </w:rPr>
        <w:fldChar w:fldCharType="end"/>
      </w:r>
      <w:r>
        <w:rPr>
          <w:lang w:val="ru-RU"/>
        </w:rPr>
        <w:t xml:space="preserve"> </w:t>
      </w:r>
    </w:p>
    <w:p>
      <w:pPr>
        <w:suppressAutoHyphens/>
        <w:spacing w:line="360" w:lineRule="auto"/>
        <w:jc w:val="center"/>
      </w:pPr>
      <w:r>
        <w:t># # #</w:t>
      </w:r>
    </w:p>
    <w:p>
      <w:pPr>
        <w:keepNext/>
        <w:jc w:val="both"/>
        <w:rPr>
          <w:sz w:val="18"/>
          <w:szCs w:val="18"/>
        </w:rPr>
      </w:pPr>
    </w:p>
    <w:p>
      <w:pPr>
        <w:keepNext/>
        <w:jc w:val="both"/>
        <w:rPr>
          <w:sz w:val="18"/>
          <w:szCs w:val="18"/>
        </w:rPr>
      </w:pPr>
    </w:p>
    <w:p>
      <w:pPr>
        <w:widowControl w:val="0"/>
        <w:rPr>
          <w:b/>
          <w:bCs/>
          <w:color w:val="A50034"/>
          <w:sz w:val="18"/>
          <w:szCs w:val="18"/>
        </w:rPr>
      </w:pPr>
    </w:p>
    <w:p>
      <w:pPr>
        <w:pStyle w:val="13"/>
        <w:spacing w:before="0" w:after="0"/>
        <w:jc w:val="both"/>
        <w:rPr>
          <w:rFonts w:ascii="Times New Roman" w:hAnsi="Times New Roman" w:eastAsia="LG스마트체 Regular" w:cs="Times New Roman"/>
          <w:b/>
          <w:bCs/>
          <w:color w:val="A50034"/>
          <w:sz w:val="18"/>
          <w:szCs w:val="18"/>
        </w:rPr>
      </w:pPr>
      <w:r>
        <w:rPr>
          <w:rFonts w:ascii="Times New Roman" w:hAnsi="Times New Roman" w:cs="Times New Roman"/>
          <w:b/>
          <w:bCs/>
          <w:color w:val="A50034"/>
          <w:sz w:val="18"/>
          <w:szCs w:val="18"/>
          <w:lang w:val="ru-RU"/>
        </w:rPr>
        <w:t>О</w:t>
      </w:r>
      <w:r>
        <w:rPr>
          <w:rFonts w:ascii="Times New Roman" w:hAnsi="Times New Roman" w:cs="Times New Roman"/>
          <w:b/>
          <w:bCs/>
          <w:color w:val="A50034"/>
          <w:sz w:val="18"/>
          <w:szCs w:val="18"/>
        </w:rPr>
        <w:t xml:space="preserve"> </w:t>
      </w:r>
      <w:r>
        <w:rPr>
          <w:rFonts w:ascii="Times New Roman" w:hAnsi="Times New Roman" w:cs="Times New Roman"/>
          <w:b/>
          <w:bCs/>
          <w:color w:val="A50034"/>
          <w:sz w:val="18"/>
          <w:szCs w:val="18"/>
          <w:lang w:val="ru-RU"/>
        </w:rPr>
        <w:t>компании</w:t>
      </w:r>
      <w:r>
        <w:rPr>
          <w:rFonts w:ascii="Times New Roman" w:hAnsi="Times New Roman" w:cs="Times New Roman"/>
          <w:b/>
          <w:bCs/>
          <w:color w:val="A50034"/>
          <w:sz w:val="18"/>
          <w:szCs w:val="18"/>
        </w:rPr>
        <w:t xml:space="preserve"> LG Electronics Home Entertainment</w:t>
      </w:r>
    </w:p>
    <w:p>
      <w:pPr>
        <w:suppressAutoHyphens/>
        <w:jc w:val="both"/>
        <w:rPr>
          <w:rFonts w:eastAsia="Malgun Gothic"/>
          <w:sz w:val="18"/>
          <w:szCs w:val="18"/>
        </w:rPr>
      </w:pPr>
      <w:r>
        <w:rPr>
          <w:rFonts w:eastAsia="Malgun Gothic"/>
          <w:sz w:val="18"/>
          <w:szCs w:val="18"/>
          <w:lang w:val="ru-RU" w:eastAsia="ko-KR"/>
        </w:rPr>
        <w:t xml:space="preserve">Компания </w:t>
      </w:r>
      <w:r>
        <w:rPr>
          <w:rFonts w:eastAsia="Malgun Gothic"/>
          <w:sz w:val="18"/>
          <w:szCs w:val="18"/>
          <w:lang w:val="en-GB" w:eastAsia="ko-KR"/>
        </w:rPr>
        <w:t>LG</w:t>
      </w:r>
      <w:r>
        <w:rPr>
          <w:rFonts w:eastAsia="Malgun Gothic"/>
          <w:sz w:val="18"/>
          <w:szCs w:val="18"/>
          <w:lang w:val="ru-RU" w:eastAsia="ko-KR"/>
        </w:rPr>
        <w:t xml:space="preserve"> — один из крупнейших мировых производителей телевизоров, аудио- и видеосистем. Экраны </w:t>
      </w:r>
      <w:r>
        <w:rPr>
          <w:rFonts w:eastAsia="Malgun Gothic"/>
          <w:sz w:val="18"/>
          <w:szCs w:val="18"/>
          <w:lang w:val="en-GB" w:eastAsia="ko-KR"/>
        </w:rPr>
        <w:t>OLED</w:t>
      </w:r>
      <w:r>
        <w:rPr>
          <w:rFonts w:eastAsia="Malgun Gothic"/>
          <w:sz w:val="18"/>
          <w:szCs w:val="18"/>
          <w:lang w:val="ru-RU" w:eastAsia="ko-KR"/>
        </w:rPr>
        <w:t xml:space="preserve">, разработанные в </w:t>
      </w:r>
      <w:r>
        <w:rPr>
          <w:rFonts w:eastAsia="Malgun Gothic"/>
          <w:sz w:val="18"/>
          <w:szCs w:val="18"/>
          <w:lang w:val="en-GB" w:eastAsia="ko-KR"/>
        </w:rPr>
        <w:t>LG</w:t>
      </w:r>
      <w:r>
        <w:rPr>
          <w:rFonts w:eastAsia="Malgun Gothic"/>
          <w:sz w:val="18"/>
          <w:szCs w:val="18"/>
          <w:lang w:val="ru-RU" w:eastAsia="ko-KR"/>
        </w:rPr>
        <w:t xml:space="preserve">, уже существенно изменили сегмент премиум-телевизоров. </w:t>
      </w:r>
      <w:r>
        <w:rPr>
          <w:rFonts w:eastAsia="Malgun Gothic"/>
          <w:sz w:val="18"/>
          <w:szCs w:val="18"/>
          <w:lang w:val="en-GB" w:eastAsia="ko-KR"/>
        </w:rPr>
        <w:t>LG</w:t>
      </w:r>
      <w:r>
        <w:rPr>
          <w:rFonts w:eastAsia="Malgun Gothic"/>
          <w:sz w:val="18"/>
          <w:szCs w:val="18"/>
          <w:lang w:val="ru-RU" w:eastAsia="ko-KR"/>
        </w:rPr>
        <w:t xml:space="preserve"> стремится улучшить жизнь своих потребителей с помощью инновационных продуктов для домашних развлечений, среди которых отмеченные многочисленными наградами </w:t>
      </w:r>
      <w:r>
        <w:rPr>
          <w:rFonts w:eastAsia="Malgun Gothic"/>
          <w:sz w:val="18"/>
          <w:szCs w:val="18"/>
          <w:lang w:val="en-GB" w:eastAsia="ko-KR"/>
        </w:rPr>
        <w:t>OLED</w:t>
      </w:r>
      <w:r>
        <w:rPr>
          <w:rFonts w:eastAsia="Malgun Gothic"/>
          <w:sz w:val="18"/>
          <w:szCs w:val="18"/>
          <w:lang w:val="ru-RU" w:eastAsia="ko-KR"/>
        </w:rPr>
        <w:t xml:space="preserve"> телевизоры и телевизоры </w:t>
      </w:r>
      <w:r>
        <w:rPr>
          <w:rFonts w:eastAsia="Malgun Gothic"/>
          <w:sz w:val="18"/>
          <w:szCs w:val="18"/>
          <w:lang w:val="en-GB" w:eastAsia="ko-KR"/>
        </w:rPr>
        <w:t>NanoCell</w:t>
      </w:r>
      <w:r>
        <w:rPr>
          <w:rFonts w:eastAsia="Malgun Gothic"/>
          <w:sz w:val="18"/>
          <w:szCs w:val="18"/>
          <w:lang w:val="ru-RU" w:eastAsia="ko-KR"/>
        </w:rPr>
        <w:t xml:space="preserve"> с искусственным интеллектом и звуковыми решениями, разработанными в сотрудничестве с </w:t>
      </w:r>
      <w:r>
        <w:rPr>
          <w:rFonts w:eastAsia="Malgun Gothic"/>
          <w:sz w:val="18"/>
          <w:szCs w:val="18"/>
          <w:lang w:val="en-GB" w:eastAsia="ko-KR"/>
        </w:rPr>
        <w:t>Meridian</w:t>
      </w:r>
      <w:r>
        <w:rPr>
          <w:rFonts w:eastAsia="Malgun Gothic"/>
          <w:sz w:val="18"/>
          <w:szCs w:val="18"/>
          <w:lang w:val="ru-RU" w:eastAsia="ko-KR"/>
        </w:rPr>
        <w:t xml:space="preserve"> </w:t>
      </w:r>
      <w:r>
        <w:rPr>
          <w:rFonts w:eastAsia="Malgun Gothic"/>
          <w:sz w:val="18"/>
          <w:szCs w:val="18"/>
          <w:lang w:val="en-GB" w:eastAsia="ko-KR"/>
        </w:rPr>
        <w:t>Audio</w:t>
      </w:r>
      <w:r>
        <w:rPr>
          <w:rFonts w:eastAsia="Malgun Gothic"/>
          <w:sz w:val="18"/>
          <w:szCs w:val="18"/>
          <w:lang w:val="ru-RU" w:eastAsia="ko-KR"/>
        </w:rPr>
        <w:t xml:space="preserve">. </w:t>
      </w:r>
      <w:r>
        <w:rPr>
          <w:rFonts w:eastAsia="Malgun Gothic"/>
          <w:sz w:val="18"/>
          <w:szCs w:val="18"/>
          <w:lang w:eastAsia="ko-KR"/>
        </w:rPr>
        <w:t xml:space="preserve">Узнать больше о компании и технологиях </w:t>
      </w:r>
      <w:r>
        <w:rPr>
          <w:rFonts w:eastAsia="Malgun Gothic"/>
          <w:sz w:val="18"/>
          <w:szCs w:val="18"/>
          <w:lang w:val="en-GB" w:eastAsia="ko-KR"/>
        </w:rPr>
        <w:t>LG</w:t>
      </w:r>
      <w:r>
        <w:rPr>
          <w:rFonts w:eastAsia="Malgun Gothic"/>
          <w:sz w:val="18"/>
          <w:szCs w:val="18"/>
          <w:lang w:eastAsia="ko-KR"/>
        </w:rPr>
        <w:t xml:space="preserve">: </w:t>
      </w:r>
      <w:r>
        <w:rPr>
          <w:rFonts w:eastAsia="Malgun Gothic"/>
          <w:sz w:val="18"/>
          <w:szCs w:val="18"/>
          <w:lang w:val="en-GB" w:eastAsia="ko-KR"/>
        </w:rPr>
        <w:t>www</w:t>
      </w:r>
      <w:r>
        <w:rPr>
          <w:rFonts w:eastAsia="Malgun Gothic"/>
          <w:sz w:val="18"/>
          <w:szCs w:val="18"/>
          <w:lang w:eastAsia="ko-KR"/>
        </w:rPr>
        <w:t>.</w:t>
      </w:r>
      <w:r>
        <w:rPr>
          <w:rFonts w:eastAsia="Malgun Gothic"/>
          <w:sz w:val="18"/>
          <w:szCs w:val="18"/>
          <w:lang w:val="en-GB" w:eastAsia="ko-KR"/>
        </w:rPr>
        <w:t>LGnewsroom</w:t>
      </w:r>
      <w:r>
        <w:rPr>
          <w:rFonts w:eastAsia="Malgun Gothic"/>
          <w:sz w:val="18"/>
          <w:szCs w:val="18"/>
          <w:lang w:eastAsia="ko-KR"/>
        </w:rPr>
        <w:t>.</w:t>
      </w:r>
      <w:r>
        <w:rPr>
          <w:rFonts w:eastAsia="Malgun Gothic"/>
          <w:sz w:val="18"/>
          <w:szCs w:val="18"/>
          <w:lang w:val="en-GB" w:eastAsia="ko-KR"/>
        </w:rPr>
        <w:t>com</w:t>
      </w:r>
    </w:p>
    <w:p>
      <w:pPr>
        <w:keepNext/>
        <w:jc w:val="both"/>
        <w:rPr>
          <w:sz w:val="18"/>
          <w:szCs w:val="18"/>
          <w:lang w:val="ru-RU"/>
        </w:rPr>
      </w:pPr>
    </w:p>
    <w:p>
      <w:pPr>
        <w:keepNext/>
        <w:keepLines/>
        <w:suppressAutoHyphens/>
        <w:rPr>
          <w:lang w:val="ru-RU"/>
        </w:rPr>
      </w:pPr>
    </w:p>
    <w:sectPr>
      <w:headerReference r:id="rId4" w:type="default"/>
      <w:pgSz w:w="11900" w:h="16840"/>
      <w:pgMar w:top="2268" w:right="1701" w:bottom="1418" w:left="170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Times">
    <w:altName w:val="Times New Roman"/>
    <w:panose1 w:val="02020603050405020304"/>
    <w:charset w:val="CC"/>
    <w:family w:val="roman"/>
    <w:pitch w:val="default"/>
    <w:sig w:usb0="00000000" w:usb1="00000000" w:usb2="00000009" w:usb3="00000000" w:csb0="000001FF" w:csb1="00000000"/>
  </w:font>
  <w:font w:name="Helvetica Neue">
    <w:altName w:val="Times New Roman"/>
    <w:panose1 w:val="00000000000000000000"/>
    <w:charset w:val="00"/>
    <w:family w:val="auto"/>
    <w:pitch w:val="default"/>
    <w:sig w:usb0="00000000" w:usb1="00000000" w:usb2="00000010" w:usb3="00000000" w:csb0="00000001" w:csb1="00000000"/>
  </w:font>
  <w:font w:name="Segoe UI">
    <w:panose1 w:val="020B0502040204020203"/>
    <w:charset w:val="CC"/>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LG스마트체 Regular">
    <w:altName w:val="Malgun Gothic"/>
    <w:panose1 w:val="00000000000000000000"/>
    <w:charset w:val="81"/>
    <w:family w:val="modern"/>
    <w:pitch w:val="default"/>
    <w:sig w:usb0="00000000" w:usb1="0000000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pPr>
        <w:pStyle w:val="10"/>
        <w:rPr>
          <w:lang w:val="ru-RU"/>
        </w:rPr>
      </w:pPr>
      <w:r>
        <w:rPr>
          <w:rStyle w:val="4"/>
        </w:rPr>
        <w:footnoteRef/>
      </w:r>
      <w:r>
        <w:rPr>
          <w:lang w:val="ru-RU"/>
        </w:rPr>
        <w:t xml:space="preserve"> Enhanced Audio Return Channel (усовершенствованный звуковой обратный канал)</w:t>
      </w:r>
    </w:p>
  </w:footnote>
  <w:footnote w:id="1">
    <w:p>
      <w:pPr>
        <w:pStyle w:val="10"/>
        <w:rPr>
          <w:lang w:val="ru-RU"/>
        </w:rPr>
      </w:pPr>
      <w:r>
        <w:rPr>
          <w:rStyle w:val="4"/>
        </w:rPr>
        <w:footnoteRef/>
      </w:r>
      <w:r>
        <w:rPr>
          <w:lang w:val="ru-RU"/>
        </w:rPr>
        <w:t>Филммейкер</w:t>
      </w:r>
    </w:p>
  </w:footnote>
  <w:footnote w:id="2">
    <w:p>
      <w:pPr>
        <w:pStyle w:val="10"/>
        <w:rPr>
          <w:lang w:val="ru-RU"/>
        </w:rPr>
      </w:pPr>
      <w:r>
        <w:rPr>
          <w:rStyle w:val="4"/>
        </w:rPr>
        <w:footnoteRef/>
      </w:r>
      <w:r>
        <w:rPr>
          <w:lang w:val="ru-RU"/>
        </w:rPr>
        <w:t xml:space="preserve"> HDR (High Dynamic Range) — расширенный динамический диапазон (АшДиАр 10, Динамическая тональная компрессия </w:t>
      </w:r>
      <w:r>
        <w:t>Dynamic</w:t>
      </w:r>
      <w:r>
        <w:rPr>
          <w:lang w:val="ru-RU"/>
        </w:rPr>
        <w:t xml:space="preserve"> </w:t>
      </w:r>
      <w:r>
        <w:t>Tone</w:t>
      </w:r>
      <w:r>
        <w:rPr>
          <w:lang w:val="ru-RU"/>
        </w:rPr>
        <w:t xml:space="preserve"> </w:t>
      </w:r>
      <w:r>
        <w:t>Mapping</w:t>
      </w:r>
      <w:r>
        <w:rPr>
          <w:lang w:val="ru-RU"/>
        </w:rPr>
        <w:t xml:space="preserve">, </w:t>
      </w:r>
      <w:r>
        <w:t>HLG</w:t>
      </w:r>
      <w:r>
        <w:rPr>
          <w:lang w:val="ru-RU"/>
        </w:rPr>
        <w:t xml:space="preserve"> (</w:t>
      </w:r>
      <w:r>
        <w:t>Hybrid</w:t>
      </w:r>
      <w:r>
        <w:rPr>
          <w:lang w:val="ru-RU"/>
        </w:rPr>
        <w:t xml:space="preserve"> </w:t>
      </w:r>
      <w:r>
        <w:t>Log</w:t>
      </w:r>
      <w:r>
        <w:rPr>
          <w:lang w:val="ru-RU"/>
        </w:rPr>
        <w:t xml:space="preserve"> </w:t>
      </w:r>
      <w:r>
        <w:t>Gamma</w:t>
      </w:r>
      <w:r>
        <w:rPr>
          <w:lang w:val="ru-RU"/>
        </w:rPr>
        <w:t xml:space="preserve">) и </w:t>
      </w:r>
      <w:r>
        <w:t>HGIG</w:t>
      </w:r>
      <w:r>
        <w:rPr>
          <w:lang w:val="ru-RU"/>
        </w:rPr>
        <w:t xml:space="preserve"> — </w:t>
      </w:r>
      <w:r>
        <w:t>HDR</w:t>
      </w:r>
      <w:r>
        <w:rPr>
          <w:lang w:val="ru-RU"/>
        </w:rPr>
        <w:t xml:space="preserve"> </w:t>
      </w:r>
      <w:r>
        <w:t>Gaming</w:t>
      </w:r>
      <w:r>
        <w:rPr>
          <w:lang w:val="ru-RU"/>
        </w:rPr>
        <w:t xml:space="preserve"> </w:t>
      </w:r>
      <w:r>
        <w:t>Interest</w:t>
      </w:r>
      <w:r>
        <w:rPr>
          <w:lang w:val="ru-RU"/>
        </w:rPr>
        <w:t xml:space="preserve"> </w:t>
      </w:r>
      <w:r>
        <w:t>Group</w:t>
      </w:r>
      <w:r>
        <w:rPr>
          <w:lang w:val="ru-RU"/>
        </w:rPr>
        <w:t xml:space="preserve">,  ассоциация производителей видео игр и производителей дисплеев.). </w:t>
      </w:r>
    </w:p>
  </w:footnote>
  <w:footnote w:id="3">
    <w:p>
      <w:pPr>
        <w:pStyle w:val="10"/>
        <w:rPr>
          <w:lang w:val="ru-RU"/>
        </w:rPr>
      </w:pPr>
      <w:r>
        <w:rPr>
          <w:rStyle w:val="4"/>
        </w:rPr>
        <w:footnoteRef/>
      </w:r>
      <w:r>
        <w:t xml:space="preserve"> </w:t>
      </w:r>
      <w:r>
        <w:rPr>
          <w:lang w:val="ru-RU"/>
        </w:rPr>
        <w:t>Мэджик</w:t>
      </w:r>
    </w:p>
  </w:footnote>
  <w:footnote w:id="4">
    <w:p>
      <w:pPr>
        <w:pStyle w:val="10"/>
        <w:rPr>
          <w:lang w:val="ru-RU"/>
        </w:rPr>
      </w:pPr>
      <w:r>
        <w:rPr>
          <w:rStyle w:val="4"/>
        </w:rPr>
        <w:footnoteRef/>
      </w:r>
      <w:r>
        <w:t xml:space="preserve"> </w:t>
      </w:r>
      <w:r>
        <w:rPr>
          <w:lang w:val="ru-RU"/>
        </w:rPr>
        <w:t>Скрин шейр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right" w:pos="8478"/>
        <w:tab w:val="clear" w:pos="8640"/>
      </w:tabs>
      <w:jc w:val="right"/>
    </w:pPr>
    <w:r>
      <w:rPr>
        <w:lang w:val="ru-RU"/>
      </w:rPr>
      <w:drawing>
        <wp:anchor distT="152400" distB="152400" distL="152400" distR="152400" simplePos="0" relativeHeight="251659264" behindDoc="1" locked="0" layoutInCell="1" allowOverlap="1">
          <wp:simplePos x="0" y="0"/>
          <wp:positionH relativeFrom="page">
            <wp:posOffset>600075</wp:posOffset>
          </wp:positionH>
          <wp:positionV relativeFrom="page">
            <wp:posOffset>447675</wp:posOffset>
          </wp:positionV>
          <wp:extent cx="1171575" cy="575945"/>
          <wp:effectExtent l="0" t="0" r="0" b="0"/>
          <wp:wrapNone/>
          <wp:docPr id="2" name="officeArt object"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fficeArt object" descr="Image1"/>
                  <pic:cNvPicPr>
                    <a:picLocks noChangeAspect="1"/>
                  </pic:cNvPicPr>
                </pic:nvPicPr>
                <pic:blipFill>
                  <a:blip r:embed="rId1"/>
                  <a:stretch>
                    <a:fillRect/>
                  </a:stretch>
                </pic:blipFill>
                <pic:spPr>
                  <a:xfrm>
                    <a:off x="0" y="0"/>
                    <a:ext cx="1171575" cy="575945"/>
                  </a:xfrm>
                  <a:prstGeom prst="rect">
                    <a:avLst/>
                  </a:prstGeom>
                  <a:ln w="12700" cap="flat">
                    <a:noFill/>
                    <a:miter lim="400000"/>
                    <a:headEnd/>
                    <a:tailEnd/>
                  </a:ln>
                  <a:effectLst/>
                </pic:spPr>
              </pic:pic>
            </a:graphicData>
          </a:graphic>
        </wp:anchor>
      </w:drawing>
    </w:r>
    <w:r>
      <w:rPr>
        <w:lang w:val="ru-RU"/>
      </w:rPr>
      <mc:AlternateContent>
        <mc:Choice Requires="wps">
          <w:drawing>
            <wp:anchor distT="152400" distB="152400" distL="152400" distR="152400" simplePos="0" relativeHeight="251660288" behindDoc="1" locked="0" layoutInCell="1" allowOverlap="1">
              <wp:simplePos x="0" y="0"/>
              <wp:positionH relativeFrom="page">
                <wp:posOffset>6366510</wp:posOffset>
              </wp:positionH>
              <wp:positionV relativeFrom="page">
                <wp:posOffset>10008235</wp:posOffset>
              </wp:positionV>
              <wp:extent cx="114300" cy="228600"/>
              <wp:effectExtent l="0" t="0" r="0" b="0"/>
              <wp:wrapNone/>
              <wp:docPr id="1073741826" name="officeArt object" descr="Textbox 1"/>
              <wp:cNvGraphicFramePr/>
              <a:graphic xmlns:a="http://schemas.openxmlformats.org/drawingml/2006/main">
                <a:graphicData uri="http://schemas.microsoft.com/office/word/2010/wordprocessingShape">
                  <wps:wsp>
                    <wps:cNvSpPr txBox="1"/>
                    <wps:spPr>
                      <a:xfrm>
                        <a:off x="0" y="0"/>
                        <a:ext cx="114300" cy="228600"/>
                      </a:xfrm>
                      <a:prstGeom prst="rect">
                        <a:avLst/>
                      </a:prstGeom>
                      <a:noFill/>
                      <a:ln w="12700" cap="flat">
                        <a:noFill/>
                        <a:miter lim="400000"/>
                      </a:ln>
                      <a:effectLst/>
                    </wps:spPr>
                    <wps:txbx>
                      <w:txbxContent>
                        <w:p>
                          <w:pPr>
                            <w:pStyle w:val="12"/>
                          </w:pPr>
                          <w:r>
                            <w:fldChar w:fldCharType="begin"/>
                          </w:r>
                          <w:r>
                            <w:instrText xml:space="preserve"> PAGE </w:instrText>
                          </w:r>
                          <w:r>
                            <w:fldChar w:fldCharType="separate"/>
                          </w:r>
                          <w:r>
                            <w:t>1</w:t>
                          </w:r>
                          <w:r>
                            <w:fldChar w:fldCharType="end"/>
                          </w:r>
                        </w:p>
                      </w:txbxContent>
                    </wps:txbx>
                    <wps:bodyPr wrap="square" lIns="0" tIns="0" rIns="0" bIns="0" numCol="1" anchor="t">
                      <a:noAutofit/>
                    </wps:bodyPr>
                  </wps:wsp>
                </a:graphicData>
              </a:graphic>
            </wp:anchor>
          </w:drawing>
        </mc:Choice>
        <mc:Fallback>
          <w:pict>
            <v:shape id="officeArt object" o:spid="_x0000_s1026" o:spt="202" alt="Textbox 1" type="#_x0000_t202" style="position:absolute;left:0pt;margin-left:501.3pt;margin-top:788.05pt;height:18pt;width:9pt;mso-position-horizontal-relative:page;mso-position-vertical-relative:page;z-index:-251656192;mso-width-relative:page;mso-height-relative:page;" filled="f" stroked="f" coordsize="21600,21600" o:gfxdata="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UJ0NJ2QAAAA8BAAAPAAAAAAAAAAEAIAAAACIAAABkcnMvZG93bnJldi54&#10;bWxQSwECFAAUAAAACACHTuJAoge9/PkBAAD9AwAADgAAAAAAAAABACAAAAAoAQAAZHJzL2Uyb0Rv&#10;Yy54bWxQSwUGAAAAAAYABgBZAQAAkwUAAAAA&#10;">
              <v:fill on="f" focussize="0,0"/>
              <v:stroke on="f" weight="1pt" miterlimit="4" joinstyle="miter"/>
              <v:imagedata o:title=""/>
              <o:lock v:ext="edit" aspectratio="f"/>
              <v:textbox inset="0mm,0mm,0mm,0mm">
                <w:txbxContent>
                  <w:p>
                    <w:pPr>
                      <w:pStyle w:val="12"/>
                    </w:pPr>
                    <w:r>
                      <w:fldChar w:fldCharType="begin"/>
                    </w:r>
                    <w:r>
                      <w:instrText xml:space="preserve"> PAGE </w:instrText>
                    </w:r>
                    <w:r>
                      <w:fldChar w:fldCharType="separate"/>
                    </w:r>
                    <w:r>
                      <w:t>1</w:t>
                    </w:r>
                    <w:r>
                      <w:fldChar w:fldCharType="end"/>
                    </w:r>
                  </w:p>
                </w:txbxContent>
              </v:textbox>
            </v:shape>
          </w:pict>
        </mc:Fallback>
      </mc:AlternateContent>
    </w:r>
    <w:r>
      <w:rPr>
        <w:rFonts w:ascii="Times New Roman" w:hAnsi="Times New Roman"/>
        <w:shd w:val="clear" w:color="auto" w:fill="00000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trackRevisions w:val="1"/>
  <w:documentProtection w:enforcement="0"/>
  <w:defaultTabStop w:val="800"/>
  <w:autoHyphenation/>
  <w:characterSpacingControl w:val="doNotCompress"/>
  <w:footnotePr>
    <w:footnote w:id="10"/>
    <w:footnote w:id="1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4F9"/>
    <w:rsid w:val="00004A70"/>
    <w:rsid w:val="00020285"/>
    <w:rsid w:val="00041A6E"/>
    <w:rsid w:val="00041DC7"/>
    <w:rsid w:val="00051503"/>
    <w:rsid w:val="00072DE2"/>
    <w:rsid w:val="00085D5E"/>
    <w:rsid w:val="00086CB6"/>
    <w:rsid w:val="000A2E4A"/>
    <w:rsid w:val="000B226E"/>
    <w:rsid w:val="000C4225"/>
    <w:rsid w:val="000C4869"/>
    <w:rsid w:val="000F1412"/>
    <w:rsid w:val="000F16B4"/>
    <w:rsid w:val="001155D2"/>
    <w:rsid w:val="0014297C"/>
    <w:rsid w:val="001449CA"/>
    <w:rsid w:val="001474E9"/>
    <w:rsid w:val="00151CFD"/>
    <w:rsid w:val="001650CA"/>
    <w:rsid w:val="00174223"/>
    <w:rsid w:val="001848D7"/>
    <w:rsid w:val="00191687"/>
    <w:rsid w:val="001A455F"/>
    <w:rsid w:val="001A75EA"/>
    <w:rsid w:val="001C3DCE"/>
    <w:rsid w:val="001E1FAD"/>
    <w:rsid w:val="001E1FF7"/>
    <w:rsid w:val="001E2898"/>
    <w:rsid w:val="001E3D0F"/>
    <w:rsid w:val="00244125"/>
    <w:rsid w:val="002447BB"/>
    <w:rsid w:val="00260197"/>
    <w:rsid w:val="002652F2"/>
    <w:rsid w:val="00272FF9"/>
    <w:rsid w:val="002A3940"/>
    <w:rsid w:val="002C4938"/>
    <w:rsid w:val="002D0B99"/>
    <w:rsid w:val="002D65CC"/>
    <w:rsid w:val="002E62BE"/>
    <w:rsid w:val="002E78CB"/>
    <w:rsid w:val="002F3372"/>
    <w:rsid w:val="002F546E"/>
    <w:rsid w:val="002F6EF0"/>
    <w:rsid w:val="00334643"/>
    <w:rsid w:val="00337A04"/>
    <w:rsid w:val="00374BF0"/>
    <w:rsid w:val="00376BF2"/>
    <w:rsid w:val="003927AC"/>
    <w:rsid w:val="003B02C2"/>
    <w:rsid w:val="003B1A74"/>
    <w:rsid w:val="003B495D"/>
    <w:rsid w:val="003B63CA"/>
    <w:rsid w:val="003C0F89"/>
    <w:rsid w:val="003C5454"/>
    <w:rsid w:val="003D1971"/>
    <w:rsid w:val="003D1EEA"/>
    <w:rsid w:val="003D20E1"/>
    <w:rsid w:val="003F25F4"/>
    <w:rsid w:val="003F39A0"/>
    <w:rsid w:val="003F7DD4"/>
    <w:rsid w:val="0040097D"/>
    <w:rsid w:val="0040188E"/>
    <w:rsid w:val="00401CF0"/>
    <w:rsid w:val="004343BA"/>
    <w:rsid w:val="0044750C"/>
    <w:rsid w:val="00474851"/>
    <w:rsid w:val="0049012F"/>
    <w:rsid w:val="004909DF"/>
    <w:rsid w:val="004942AD"/>
    <w:rsid w:val="004956B7"/>
    <w:rsid w:val="0049606A"/>
    <w:rsid w:val="004A221B"/>
    <w:rsid w:val="004A2D07"/>
    <w:rsid w:val="004A31FE"/>
    <w:rsid w:val="004A6381"/>
    <w:rsid w:val="004C5947"/>
    <w:rsid w:val="004C5C13"/>
    <w:rsid w:val="0050330C"/>
    <w:rsid w:val="00511D17"/>
    <w:rsid w:val="005225ED"/>
    <w:rsid w:val="00524A45"/>
    <w:rsid w:val="00526ED8"/>
    <w:rsid w:val="00530215"/>
    <w:rsid w:val="00546B64"/>
    <w:rsid w:val="00561DF3"/>
    <w:rsid w:val="00563063"/>
    <w:rsid w:val="00565FEA"/>
    <w:rsid w:val="00576FC4"/>
    <w:rsid w:val="0058205F"/>
    <w:rsid w:val="0058567A"/>
    <w:rsid w:val="005B6174"/>
    <w:rsid w:val="005B7386"/>
    <w:rsid w:val="005E017F"/>
    <w:rsid w:val="005E06DB"/>
    <w:rsid w:val="005E3E23"/>
    <w:rsid w:val="005F2602"/>
    <w:rsid w:val="005F4E05"/>
    <w:rsid w:val="00612D13"/>
    <w:rsid w:val="00623FF7"/>
    <w:rsid w:val="00625C71"/>
    <w:rsid w:val="006350F1"/>
    <w:rsid w:val="00647204"/>
    <w:rsid w:val="00651CC7"/>
    <w:rsid w:val="00655630"/>
    <w:rsid w:val="00671475"/>
    <w:rsid w:val="006715FF"/>
    <w:rsid w:val="00677201"/>
    <w:rsid w:val="00684394"/>
    <w:rsid w:val="0069107C"/>
    <w:rsid w:val="006E248D"/>
    <w:rsid w:val="00705683"/>
    <w:rsid w:val="00753E60"/>
    <w:rsid w:val="00756092"/>
    <w:rsid w:val="00767502"/>
    <w:rsid w:val="00770C0A"/>
    <w:rsid w:val="00773C65"/>
    <w:rsid w:val="00775B67"/>
    <w:rsid w:val="00777530"/>
    <w:rsid w:val="0078000D"/>
    <w:rsid w:val="007A1CED"/>
    <w:rsid w:val="007A578C"/>
    <w:rsid w:val="007E68E4"/>
    <w:rsid w:val="007F6247"/>
    <w:rsid w:val="00803268"/>
    <w:rsid w:val="00803B60"/>
    <w:rsid w:val="0080561D"/>
    <w:rsid w:val="00831DA5"/>
    <w:rsid w:val="008466F8"/>
    <w:rsid w:val="00853DD2"/>
    <w:rsid w:val="008606C7"/>
    <w:rsid w:val="00864104"/>
    <w:rsid w:val="008727C9"/>
    <w:rsid w:val="0087406A"/>
    <w:rsid w:val="00876152"/>
    <w:rsid w:val="008822CD"/>
    <w:rsid w:val="008A0FBB"/>
    <w:rsid w:val="008A70AA"/>
    <w:rsid w:val="008C0DBB"/>
    <w:rsid w:val="00902014"/>
    <w:rsid w:val="009064F3"/>
    <w:rsid w:val="009065EF"/>
    <w:rsid w:val="0090721C"/>
    <w:rsid w:val="00932A1F"/>
    <w:rsid w:val="00942A2A"/>
    <w:rsid w:val="00946B37"/>
    <w:rsid w:val="00954754"/>
    <w:rsid w:val="00964B7A"/>
    <w:rsid w:val="0097510C"/>
    <w:rsid w:val="0098422C"/>
    <w:rsid w:val="009850C3"/>
    <w:rsid w:val="00985B87"/>
    <w:rsid w:val="00986B91"/>
    <w:rsid w:val="009A1EAA"/>
    <w:rsid w:val="009A42B8"/>
    <w:rsid w:val="009B5B0D"/>
    <w:rsid w:val="009C321B"/>
    <w:rsid w:val="009E2A73"/>
    <w:rsid w:val="00A1190A"/>
    <w:rsid w:val="00A257AE"/>
    <w:rsid w:val="00A33CCE"/>
    <w:rsid w:val="00A35C5D"/>
    <w:rsid w:val="00A4730B"/>
    <w:rsid w:val="00A53BF2"/>
    <w:rsid w:val="00A54A04"/>
    <w:rsid w:val="00A54B5F"/>
    <w:rsid w:val="00A6789B"/>
    <w:rsid w:val="00A74FF4"/>
    <w:rsid w:val="00A75706"/>
    <w:rsid w:val="00A85C6D"/>
    <w:rsid w:val="00A93B72"/>
    <w:rsid w:val="00A93BD5"/>
    <w:rsid w:val="00A955C6"/>
    <w:rsid w:val="00AC37DE"/>
    <w:rsid w:val="00AD3AE0"/>
    <w:rsid w:val="00AE1D94"/>
    <w:rsid w:val="00B036D6"/>
    <w:rsid w:val="00B04EDD"/>
    <w:rsid w:val="00B43F6A"/>
    <w:rsid w:val="00B66E25"/>
    <w:rsid w:val="00B70B63"/>
    <w:rsid w:val="00B73C22"/>
    <w:rsid w:val="00B83EB9"/>
    <w:rsid w:val="00B855BA"/>
    <w:rsid w:val="00BD2CEE"/>
    <w:rsid w:val="00BD3BAE"/>
    <w:rsid w:val="00C04512"/>
    <w:rsid w:val="00C0717B"/>
    <w:rsid w:val="00C12E8C"/>
    <w:rsid w:val="00C27B94"/>
    <w:rsid w:val="00C36E3D"/>
    <w:rsid w:val="00C4002A"/>
    <w:rsid w:val="00C40645"/>
    <w:rsid w:val="00C4706C"/>
    <w:rsid w:val="00C54D59"/>
    <w:rsid w:val="00C63673"/>
    <w:rsid w:val="00C63A4F"/>
    <w:rsid w:val="00C91B90"/>
    <w:rsid w:val="00C92636"/>
    <w:rsid w:val="00CA4BC6"/>
    <w:rsid w:val="00CC1298"/>
    <w:rsid w:val="00CE3490"/>
    <w:rsid w:val="00CF2A93"/>
    <w:rsid w:val="00D010D9"/>
    <w:rsid w:val="00D7332A"/>
    <w:rsid w:val="00D909DC"/>
    <w:rsid w:val="00D96D6A"/>
    <w:rsid w:val="00DA4EF7"/>
    <w:rsid w:val="00DD17F6"/>
    <w:rsid w:val="00DE093B"/>
    <w:rsid w:val="00DE2BED"/>
    <w:rsid w:val="00E3402E"/>
    <w:rsid w:val="00E43094"/>
    <w:rsid w:val="00E50E08"/>
    <w:rsid w:val="00E65A8C"/>
    <w:rsid w:val="00E668A5"/>
    <w:rsid w:val="00E8353E"/>
    <w:rsid w:val="00E85F23"/>
    <w:rsid w:val="00EA0EB7"/>
    <w:rsid w:val="00ED04F9"/>
    <w:rsid w:val="00ED3C16"/>
    <w:rsid w:val="00EE0E38"/>
    <w:rsid w:val="00EE1E99"/>
    <w:rsid w:val="00EE622F"/>
    <w:rsid w:val="00F0257F"/>
    <w:rsid w:val="00F069CC"/>
    <w:rsid w:val="00F31D71"/>
    <w:rsid w:val="00F352A4"/>
    <w:rsid w:val="00F42916"/>
    <w:rsid w:val="00F62472"/>
    <w:rsid w:val="00F75767"/>
    <w:rsid w:val="00F825D3"/>
    <w:rsid w:val="00F82FAF"/>
    <w:rsid w:val="00F84BE3"/>
    <w:rsid w:val="00F8526D"/>
    <w:rsid w:val="00F90CD7"/>
    <w:rsid w:val="00FA15FD"/>
    <w:rsid w:val="00FC71FB"/>
    <w:rsid w:val="00FD3DFD"/>
    <w:rsid w:val="00FF4E87"/>
    <w:rsid w:val="46A966E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eastAsia="Arial Unicode MS" w:cs="Arial Unicode MS"/>
      <w:color w:val="000000"/>
      <w:sz w:val="24"/>
      <w:szCs w:val="24"/>
      <w:u w:color="000000"/>
      <w:lang w:val="en-US" w:eastAsia="ru-RU"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footnote reference"/>
    <w:basedOn w:val="2"/>
    <w:semiHidden/>
    <w:unhideWhenUsed/>
    <w:uiPriority w:val="99"/>
    <w:rPr>
      <w:vertAlign w:val="superscript"/>
    </w:rPr>
  </w:style>
  <w:style w:type="character" w:styleId="5">
    <w:name w:val="annotation reference"/>
    <w:basedOn w:val="2"/>
    <w:semiHidden/>
    <w:unhideWhenUsed/>
    <w:qFormat/>
    <w:uiPriority w:val="99"/>
    <w:rPr>
      <w:sz w:val="16"/>
      <w:szCs w:val="16"/>
    </w:rPr>
  </w:style>
  <w:style w:type="character" w:styleId="6">
    <w:name w:val="Hyperlink"/>
    <w:uiPriority w:val="0"/>
    <w:rPr>
      <w:u w:val="single"/>
    </w:rPr>
  </w:style>
  <w:style w:type="paragraph" w:styleId="7">
    <w:name w:val="Balloon Text"/>
    <w:basedOn w:val="1"/>
    <w:link w:val="20"/>
    <w:semiHidden/>
    <w:unhideWhenUsed/>
    <w:uiPriority w:val="99"/>
    <w:rPr>
      <w:rFonts w:ascii="Segoe UI" w:hAnsi="Segoe UI" w:cs="Segoe UI"/>
      <w:sz w:val="18"/>
      <w:szCs w:val="18"/>
    </w:rPr>
  </w:style>
  <w:style w:type="paragraph" w:styleId="8">
    <w:name w:val="annotation text"/>
    <w:basedOn w:val="1"/>
    <w:link w:val="24"/>
    <w:semiHidden/>
    <w:unhideWhenUsed/>
    <w:uiPriority w:val="99"/>
    <w:rPr>
      <w:sz w:val="20"/>
      <w:szCs w:val="20"/>
    </w:rPr>
  </w:style>
  <w:style w:type="paragraph" w:styleId="9">
    <w:name w:val="annotation subject"/>
    <w:basedOn w:val="8"/>
    <w:next w:val="8"/>
    <w:link w:val="25"/>
    <w:semiHidden/>
    <w:unhideWhenUsed/>
    <w:uiPriority w:val="99"/>
    <w:rPr>
      <w:b/>
      <w:bCs/>
    </w:rPr>
  </w:style>
  <w:style w:type="paragraph" w:styleId="10">
    <w:name w:val="footnote text"/>
    <w:basedOn w:val="1"/>
    <w:link w:val="23"/>
    <w:semiHidden/>
    <w:unhideWhenUsed/>
    <w:uiPriority w:val="99"/>
    <w:rPr>
      <w:sz w:val="20"/>
      <w:szCs w:val="20"/>
    </w:rPr>
  </w:style>
  <w:style w:type="paragraph" w:styleId="11">
    <w:name w:val="header"/>
    <w:uiPriority w:val="0"/>
    <w:pPr>
      <w:pBdr>
        <w:top w:val="none" w:color="auto" w:sz="0" w:space="0"/>
        <w:left w:val="none" w:color="auto" w:sz="0" w:space="0"/>
        <w:bottom w:val="none" w:color="auto" w:sz="0" w:space="0"/>
        <w:right w:val="none" w:color="auto" w:sz="0" w:space="0"/>
        <w:between w:val="none" w:color="auto" w:sz="0" w:space="0"/>
      </w:pBdr>
      <w:tabs>
        <w:tab w:val="center" w:pos="4320"/>
        <w:tab w:val="right" w:pos="8640"/>
      </w:tabs>
    </w:pPr>
    <w:rPr>
      <w:rFonts w:ascii="Times" w:hAnsi="Times" w:eastAsia="Arial Unicode MS" w:cs="Arial Unicode MS"/>
      <w:color w:val="000000"/>
      <w:sz w:val="24"/>
      <w:szCs w:val="24"/>
      <w:u w:color="000000"/>
      <w:lang w:val="en-US" w:eastAsia="ru-RU" w:bidi="ar-SA"/>
    </w:rPr>
  </w:style>
  <w:style w:type="paragraph" w:styleId="12">
    <w:name w:val="footer"/>
    <w:uiPriority w:val="0"/>
    <w:pPr>
      <w:widowControl w:val="0"/>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line="360" w:lineRule="atLeast"/>
      <w:jc w:val="both"/>
    </w:pPr>
    <w:rPr>
      <w:rFonts w:ascii="Times New Roman" w:hAnsi="Times New Roman" w:eastAsia="Times New Roman" w:cs="Times New Roman"/>
      <w:color w:val="000000"/>
      <w:u w:color="000000"/>
      <w:lang w:val="en-US" w:eastAsia="ru-RU" w:bidi="ar-SA"/>
    </w:rPr>
  </w:style>
  <w:style w:type="paragraph" w:styleId="13">
    <w:name w:val="Normal (Web)"/>
    <w:basedOn w:val="1"/>
    <w:uiPriority w:val="99"/>
    <w:pPr>
      <w:pBdr>
        <w:top w:val="none" w:color="auto" w:sz="0" w:space="0"/>
        <w:left w:val="none" w:color="auto" w:sz="0" w:space="0"/>
        <w:bottom w:val="none" w:color="auto" w:sz="0" w:space="0"/>
        <w:right w:val="none" w:color="auto" w:sz="0" w:space="0"/>
        <w:between w:val="none" w:color="auto" w:sz="0" w:space="0"/>
      </w:pBdr>
      <w:spacing w:before="15" w:after="15"/>
    </w:pPr>
    <w:rPr>
      <w:rFonts w:ascii="Gulim" w:hAnsi="Gulim" w:eastAsia="Batang" w:cs="Gulim"/>
      <w:color w:val="auto"/>
      <w:sz w:val="20"/>
      <w:szCs w:val="20"/>
      <w:lang w:eastAsia="ko-KR"/>
    </w:rPr>
  </w:style>
  <w:style w:type="table" w:customStyle="1" w:styleId="14">
    <w:name w:val="Table Normal1"/>
    <w:uiPriority w:val="0"/>
    <w:tblPr>
      <w:tblCellMar>
        <w:top w:w="0" w:type="dxa"/>
        <w:left w:w="0" w:type="dxa"/>
        <w:bottom w:w="0" w:type="dxa"/>
        <w:right w:w="0" w:type="dxa"/>
      </w:tblCellMar>
    </w:tblPr>
  </w:style>
  <w:style w:type="paragraph" w:customStyle="1" w:styleId="15">
    <w:name w:val="Header &amp; Footer"/>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Neue" w:hAnsi="Helvetica Neue" w:eastAsia="Helvetica Neue" w:cs="Helvetica Neue"/>
      <w:color w:val="000000"/>
      <w:sz w:val="24"/>
      <w:szCs w:val="24"/>
      <w:lang w:val="ru-RU" w:eastAsia="ru-RU" w:bidi="ar-SA"/>
    </w:rPr>
  </w:style>
  <w:style w:type="character" w:customStyle="1" w:styleId="16">
    <w:name w:val="Hyperlink.0"/>
    <w:uiPriority w:val="0"/>
    <w:rPr>
      <w:sz w:val="18"/>
      <w:szCs w:val="18"/>
    </w:rPr>
  </w:style>
  <w:style w:type="character" w:customStyle="1" w:styleId="17">
    <w:name w:val="None"/>
    <w:uiPriority w:val="0"/>
  </w:style>
  <w:style w:type="character" w:customStyle="1" w:styleId="18">
    <w:name w:val="Hyperlink.1"/>
    <w:basedOn w:val="17"/>
    <w:uiPriority w:val="0"/>
    <w:rPr>
      <w:rFonts w:ascii="Times New Roman" w:hAnsi="Times New Roman" w:eastAsia="Times New Roman" w:cs="Times New Roman"/>
      <w:color w:val="000000"/>
      <w:sz w:val="18"/>
      <w:szCs w:val="18"/>
      <w:u w:val="none" w:color="000000"/>
    </w:rPr>
  </w:style>
  <w:style w:type="character" w:customStyle="1" w:styleId="19">
    <w:name w:val="Hyperlink.2"/>
    <w:uiPriority w:val="0"/>
    <w:rPr>
      <w:color w:val="000000"/>
      <w:sz w:val="18"/>
      <w:szCs w:val="18"/>
      <w:u w:color="000000"/>
    </w:rPr>
  </w:style>
  <w:style w:type="character" w:customStyle="1" w:styleId="20">
    <w:name w:val="Balloon Text Char"/>
    <w:basedOn w:val="2"/>
    <w:link w:val="7"/>
    <w:semiHidden/>
    <w:uiPriority w:val="99"/>
    <w:rPr>
      <w:rFonts w:ascii="Segoe UI" w:hAnsi="Segoe UI" w:cs="Segoe UI"/>
      <w:color w:val="000000"/>
      <w:sz w:val="18"/>
      <w:szCs w:val="18"/>
      <w:u w:color="000000"/>
      <w:lang w:val="en-US"/>
    </w:rPr>
  </w:style>
  <w:style w:type="paragraph" w:customStyle="1" w:styleId="21">
    <w:name w:val="Body"/>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Arial Unicode MS" w:eastAsiaTheme="minorEastAsia"/>
      <w:color w:val="000000"/>
      <w:sz w:val="24"/>
      <w:szCs w:val="24"/>
      <w:u w:color="000000"/>
      <w:lang w:val="en-US" w:eastAsia="ko-KR" w:bidi="ar-SA"/>
    </w:rPr>
  </w:style>
  <w:style w:type="table" w:customStyle="1" w:styleId="22">
    <w:name w:val="Plain Table 41"/>
    <w:basedOn w:val="3"/>
    <w:uiPriority w:val="44"/>
    <w:pPr>
      <w:pBdr>
        <w:top w:val="none" w:color="auto" w:sz="0" w:space="0"/>
        <w:left w:val="none" w:color="auto" w:sz="0" w:space="0"/>
        <w:bottom w:val="none" w:color="auto" w:sz="0" w:space="0"/>
        <w:right w:val="none" w:color="auto" w:sz="0" w:space="0"/>
        <w:between w:val="none" w:color="auto" w:sz="0" w:space="0"/>
      </w:pBdr>
    </w:pPr>
    <w:rPr>
      <w:rFonts w:ascii="Malgun Gothic" w:hAnsi="Malgun Gothic" w:eastAsia="Batang"/>
      <w:lang w:val="en-US" w:eastAsia="ja-JP"/>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3">
    <w:name w:val="Footnote Text Char"/>
    <w:basedOn w:val="2"/>
    <w:link w:val="10"/>
    <w:semiHidden/>
    <w:uiPriority w:val="99"/>
    <w:rPr>
      <w:rFonts w:cs="Arial Unicode MS"/>
      <w:color w:val="000000"/>
      <w:u w:color="000000"/>
      <w:lang w:val="en-US"/>
    </w:rPr>
  </w:style>
  <w:style w:type="character" w:customStyle="1" w:styleId="24">
    <w:name w:val="Comment Text Char"/>
    <w:basedOn w:val="2"/>
    <w:link w:val="8"/>
    <w:semiHidden/>
    <w:uiPriority w:val="99"/>
    <w:rPr>
      <w:rFonts w:cs="Arial Unicode MS"/>
      <w:color w:val="000000"/>
      <w:u w:color="000000"/>
      <w:lang w:val="en-US"/>
    </w:rPr>
  </w:style>
  <w:style w:type="character" w:customStyle="1" w:styleId="25">
    <w:name w:val="Comment Subject Char"/>
    <w:basedOn w:val="24"/>
    <w:link w:val="9"/>
    <w:semiHidden/>
    <w:uiPriority w:val="99"/>
    <w:rPr>
      <w:rFonts w:cs="Arial Unicode MS"/>
      <w:b/>
      <w:bCs/>
      <w:color w:val="000000"/>
      <w:u w:color="000000"/>
      <w:lang w:val="en-US"/>
    </w:rPr>
  </w:style>
  <w:style w:type="paragraph" w:styleId="26">
    <w:name w:val="List Paragraph"/>
    <w:basedOn w:val="1"/>
    <w:qFormat/>
    <w:uiPriority w:val="34"/>
    <w:pPr>
      <w:ind w:left="720"/>
      <w:contextualSpacing/>
    </w:pPr>
  </w:style>
  <w:style w:type="paragraph" w:customStyle="1" w:styleId="27">
    <w:name w:val="Revision"/>
    <w:hidden/>
    <w:semiHidden/>
    <w:uiPriority w:val="99"/>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eastAsia="Arial Unicode MS" w:cs="Arial Unicode MS"/>
      <w:color w:val="000000"/>
      <w:sz w:val="24"/>
      <w:szCs w:val="24"/>
      <w:u w:color="000000"/>
      <w:lang w:val="en-US" w:eastAsia="ru-RU"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Pr>
      <a:bodyPr rot="0" spcFirstLastPara="1" vertOverflow="overflow" horzOverflow="overflow" vert="horz" wrap="square" lIns="45718" tIns="45718" rIns="45718" bIns="45718"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633579-4ADC-435D-BD11-26E7EC7D6B1B}">
  <ds:schemaRefs/>
</ds:datastoreItem>
</file>

<file path=docProps/app.xml><?xml version="1.0" encoding="utf-8"?>
<Properties xmlns="http://schemas.openxmlformats.org/officeDocument/2006/extended-properties" xmlns:vt="http://schemas.openxmlformats.org/officeDocument/2006/docPropsVTypes">
  <Template>Normal</Template>
  <Company>Rosatom</Company>
  <Pages>3</Pages>
  <Words>664</Words>
  <Characters>3790</Characters>
  <Lines>31</Lines>
  <Paragraphs>8</Paragraphs>
  <TotalTime>19</TotalTime>
  <ScaleCrop>false</ScaleCrop>
  <LinksUpToDate>false</LinksUpToDate>
  <CharactersWithSpaces>4446</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2021-03-31T13:19:00Z</dcterms:created>
  <dc:creator>Курова-Чернавина Надежда Сергеевна</dc:creator>
  <cp:lastModifiedBy>User</cp:lastModifiedBy>
  <cp:lastPrinted>2021-04-07T06:45:00Z</cp:lastPrinted>
  <dcterms:modified xsi:type="dcterms:W3CDTF">2021-04-21T08:43:40Z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1049-11.2.0.10101</vt:lpwstr>
  </property>
</Properties>
</file>